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nit2biomerieux20120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nit2biomerieux20120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1" w:name="analyse-des-dangers-nit2biomerieux20120"/>
    <w:p>
      <w:pPr>
        <w:pStyle w:val="Heading1"/>
      </w:pPr>
      <w:r>
        <w:t xml:space="preserve">Analyse des dangers : nit2biomerieux20120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nit2biomerieux20120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2023-11-17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2023-11-17.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8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 8</w:t>
      </w:r>
    </w:p>
    <w:p>
      <w:pPr>
        <w:pStyle w:val="Compact"/>
        <w:numPr>
          <w:ilvl w:val="0"/>
          <w:numId w:val="1005"/>
        </w:numPr>
      </w:pPr>
      <w:r>
        <w:t xml:space="preserve">IATA : classe 8</w:t>
      </w:r>
    </w:p>
    <w:p>
      <w:pPr>
        <w:pStyle w:val="Compact"/>
        <w:numPr>
          <w:ilvl w:val="0"/>
          <w:numId w:val="1005"/>
        </w:numPr>
      </w:pPr>
      <w:r>
        <w:t xml:space="preserve">UN : UN2790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immédiatement les vêtements souillés.</w:t>
      </w:r>
      <w:r>
        <w:t xml:space="preserve"> </w:t>
      </w:r>
      <w:r>
        <w:t xml:space="preserve">• Laver la peau avec de l’eau et du savon.</w:t>
      </w:r>
      <w:r>
        <w:t xml:space="preserve"> </w:t>
      </w:r>
      <w:r>
        <w:t xml:space="preserve">• En cas de contact cutané mineur, éviter d’étaler la substance sur la peau non contaminée.</w:t>
      </w:r>
      <w:r>
        <w:t xml:space="preserve"> </w:t>
      </w:r>
      <w:r>
        <w:t xml:space="preserve">• Consulter un médecin si une irritation se développe et persiste.</w:t>
      </w:r>
    </w:p>
    <w:p>
      <w:pPr>
        <w:pStyle w:val="BodyText"/>
      </w:pPr>
      <w:r>
        <w:t xml:space="preserve">eyes : • Laver immédiatement les yeux à grande eau pendant au moins 15 minutes.</w:t>
      </w:r>
      <w:r>
        <w:t xml:space="preserve"> </w:t>
      </w:r>
      <w:r>
        <w:t xml:space="preserve">• Enlever les lentilles de contact si possible.</w:t>
      </w:r>
      <w:r>
        <w:t xml:space="preserve"> </w:t>
      </w:r>
      <w:r>
        <w:t xml:space="preserve">• Rincer continuellement.</w:t>
      </w:r>
      <w:r>
        <w:t xml:space="preserve"> </w:t>
      </w:r>
      <w:r>
        <w:t xml:space="preserve">• Consulter immédiatement un médecin.</w:t>
      </w:r>
    </w:p>
    <w:p>
      <w:pPr>
        <w:pStyle w:val="BodyText"/>
      </w:pPr>
      <w:r>
        <w:t xml:space="preserve">ingestion : • Appeler immédiatement un centre antipoison ou un médecin.</w:t>
      </w:r>
      <w:r>
        <w:t xml:space="preserve"> </w:t>
      </w:r>
      <w:r>
        <w:t xml:space="preserve">• Rincer la bouche.</w:t>
      </w:r>
      <w:r>
        <w:t xml:space="preserve"> </w:t>
      </w:r>
      <w:r>
        <w:t xml:space="preserve">• NE PAS faire vomir.</w:t>
      </w:r>
      <w:r>
        <w:t xml:space="preserve"> </w:t>
      </w:r>
      <w:r>
        <w:t xml:space="preserve">• En cas de vomissement, garder la tête basse pour éviter une pénétration du contenu de l’estomac dans les poumons.</w:t>
      </w:r>
    </w:p>
    <w:p>
      <w:pPr>
        <w:pStyle w:val="BodyText"/>
      </w:pPr>
      <w:r>
        <w:t xml:space="preserve">inhalation : • Sortir la personne à l’air libre.</w:t>
      </w:r>
      <w:r>
        <w:t xml:space="preserve"> </w:t>
      </w:r>
      <w:r>
        <w:t xml:space="preserve">• En cas de difficultés respiratoires, administrer de l’oxygène si nécessaire.</w:t>
      </w:r>
      <w:r>
        <w:t xml:space="preserve"> </w:t>
      </w:r>
      <w:r>
        <w:t xml:space="preserve">• Contacter un médecin si les symptômes se développent ou persistent.</w:t>
      </w:r>
    </w:p>
    <w:p>
      <w:r>
        <w:br w:type="page"/>
      </w:r>
    </w:p>
    <w:bookmarkEnd w:id="34"/>
    <w:bookmarkStart w:id="4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nit-2"/>
    <w:p>
      <w:pPr>
        <w:pStyle w:val="Heading3"/>
      </w:pPr>
      <w:r>
        <w:t xml:space="preserve">NIT 2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7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acide-acétique-à"/>
    <w:p>
      <w:pPr>
        <w:pStyle w:val="Heading3"/>
      </w:pPr>
      <w:r>
        <w:t xml:space="preserve">acide acétique à …%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64-19-7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30.0 to 40.0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9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9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25.0 - VLE-15min (ppm) : 15.0 - VLE-15min (mg/m³) : 38.0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FICHEJuin 2021Fiche n°24 - Acide acétiqueFiche présentant l’essentiel des données d’hygiène et de sécurité relatives à« Acide acétique »avec un rappel de la réglementation française et des recommandations techniques et médicales.En savoir plus</w:t>
        </w:r>
      </w:hyperlink>
    </w:p>
    <w:p>
      <w:pPr>
        <w:numPr>
          <w:ilvl w:val="0"/>
          <w:numId w:val="1010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Explosion[5, 6, 15-17]</w:t>
        </w:r>
      </w:hyperlink>
    </w:p>
    <w:p>
      <w:pPr>
        <w:numPr>
          <w:ilvl w:val="0"/>
          <w:numId w:val="1010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End w:id="48"/>
    <w:bookmarkStart w:id="4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 :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Pas d’indication d’épaisseur ou de temps de perçage fourni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des lunettes de sécurité à écrans latéraux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Équipement de protection des yeux recommandé (ex. lunettes de sécurité)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Installer une douche oculaire et une douche de décontamination rapide à proximité du lieu de travail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 :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Pas d’indication d’épaisseur ou de temps de perçage fourni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En cas de ventilation insuffisante, porter un appareil respiratoire approprié (type non précisé)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Pas de détails sur le type de filtre ou de masque (par ex. respirateur à cartouche, à air comprimé, etc.)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un vêtement de protection approprié (ex. combinaison ou tablier)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Pas de détails supplémentaires sur le type de tissu ou la résistance</w:t>
            </w:r>
          </w:p>
        </w:tc>
      </w:tr>
    </w:tbl>
    <w:bookmarkEnd w:id="49"/>
    <w:bookmarkStart w:id="5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tout contact avec les yeux, la peau ou les vêtements. - Éviter toute exposition prolongée. - Assurer une ventilation efficace. - Suivre les règles de bonnes pratiques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Stocker dans un récipient fermé de manière étanche ; conserver à l’écart des matières incompatibles (voir la Section 10 de la FDS). Les incompatibilités indiquées sont : bases, agents oxydants forts et agents de réduction.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</w:tbl>
    <w:bookmarkEnd w:id="50"/>
    <w:bookmarkEnd w:id="5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7" Type="http://schemas.openxmlformats.org/officeDocument/2006/relationships/hyperlink" Target="https://www.inrs.fr/accueil/publications/bdd/fichetox/fiche.html?refINRS=FICHETOX_24" TargetMode="External"/><Relationship Id="rId40" Type="http://schemas.openxmlformats.org/officeDocument/2006/relationships/hyperlink" Target="https://www.inrs.fr/accueil/publications/bdd/fichetox/fiche.html?refINRS=FICHETOX_24&amp;section=VLEPMesurage" TargetMode="External"/><Relationship Id="rId45" Type="http://schemas.openxmlformats.org/officeDocument/2006/relationships/hyperlink" Target="https://www.inrs.fr/accueil/publications/bdd/fichetox/fiche.html?refINRS=FICHETOX_24&amp;section=bibliographieAuteurs" TargetMode="External"/><Relationship Id="rId39" Type="http://schemas.openxmlformats.org/officeDocument/2006/relationships/hyperlink" Target="https://www.inrs.fr/accueil/publications/bdd/fichetox/fiche.html?refINRS=FICHETOX_24&amp;section=caracteristiques" TargetMode="External"/><Relationship Id="rId38" Type="http://schemas.openxmlformats.org/officeDocument/2006/relationships/hyperlink" Target="https://www.inrs.fr/accueil/publications/bdd/fichetox/fiche.html?refINRS=FICHETOX_24&amp;section=generalites" TargetMode="External"/><Relationship Id="rId41" Type="http://schemas.openxmlformats.org/officeDocument/2006/relationships/hyperlink" Target="https://www.inrs.fr/accueil/publications/bdd/fichetox/fiche.html?refINRS=FICHETOX_24&amp;section=incendieExplosion" TargetMode="External"/><Relationship Id="rId42" Type="http://schemas.openxmlformats.org/officeDocument/2006/relationships/hyperlink" Target="https://www.inrs.fr/accueil/publications/bdd/fichetox/fiche.html?refINRS=FICHETOX_24&amp;section=pathologieToxicologie" TargetMode="External"/><Relationship Id="rId44" Type="http://schemas.openxmlformats.org/officeDocument/2006/relationships/hyperlink" Target="https://www.inrs.fr/accueil/publications/bdd/fichetox/fiche.html?refINRS=FICHETOX_24&amp;section=recommandations" TargetMode="External"/><Relationship Id="rId43" Type="http://schemas.openxmlformats.org/officeDocument/2006/relationships/hyperlink" Target="https://www.inrs.fr/accueil/publications/bdd/fichetox/fiche.html?refINRS=FICHETOX_24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7" Type="http://schemas.openxmlformats.org/officeDocument/2006/relationships/hyperlink" Target="https://www.inrs.fr/accueil/publications/bdd/fichetox/fiche.html?refINRS=FICHETOX_24" TargetMode="External"/><Relationship Id="rId40" Type="http://schemas.openxmlformats.org/officeDocument/2006/relationships/hyperlink" Target="https://www.inrs.fr/accueil/publications/bdd/fichetox/fiche.html?refINRS=FICHETOX_24&amp;section=VLEPMesurage" TargetMode="External"/><Relationship Id="rId45" Type="http://schemas.openxmlformats.org/officeDocument/2006/relationships/hyperlink" Target="https://www.inrs.fr/accueil/publications/bdd/fichetox/fiche.html?refINRS=FICHETOX_24&amp;section=bibliographieAuteurs" TargetMode="External"/><Relationship Id="rId39" Type="http://schemas.openxmlformats.org/officeDocument/2006/relationships/hyperlink" Target="https://www.inrs.fr/accueil/publications/bdd/fichetox/fiche.html?refINRS=FICHETOX_24&amp;section=caracteristiques" TargetMode="External"/><Relationship Id="rId38" Type="http://schemas.openxmlformats.org/officeDocument/2006/relationships/hyperlink" Target="https://www.inrs.fr/accueil/publications/bdd/fichetox/fiche.html?refINRS=FICHETOX_24&amp;section=generalites" TargetMode="External"/><Relationship Id="rId41" Type="http://schemas.openxmlformats.org/officeDocument/2006/relationships/hyperlink" Target="https://www.inrs.fr/accueil/publications/bdd/fichetox/fiche.html?refINRS=FICHETOX_24&amp;section=incendieExplosion" TargetMode="External"/><Relationship Id="rId42" Type="http://schemas.openxmlformats.org/officeDocument/2006/relationships/hyperlink" Target="https://www.inrs.fr/accueil/publications/bdd/fichetox/fiche.html?refINRS=FICHETOX_24&amp;section=pathologieToxicologie" TargetMode="External"/><Relationship Id="rId44" Type="http://schemas.openxmlformats.org/officeDocument/2006/relationships/hyperlink" Target="https://www.inrs.fr/accueil/publications/bdd/fichetox/fiche.html?refINRS=FICHETOX_24&amp;section=recommandations" TargetMode="External"/><Relationship Id="rId43" Type="http://schemas.openxmlformats.org/officeDocument/2006/relationships/hyperlink" Target="https://www.inrs.fr/accueil/publications/bdd/fichetox/fiche.html?refINRS=FICHETOX_24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2026-07-06T11:44:56Z</dcterms:created>
  <dcterms:modified xsi:type="dcterms:W3CDTF">2026-07-06T11:44:56Z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