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peptone_bacteriologicallp0037bthermofisher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Oxoid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peptone_bacteriologicallp0037bthermofisher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X7b0ce73b6ec7db67e7751acc41369aa083555d8"/>
    <w:p>
      <w:pPr>
        <w:pStyle w:val="Heading1"/>
      </w:pPr>
      <w:r>
        <w:t xml:space="preserve">Analyse des dangers : peptone_bacteriologicallp0037bthermofisher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peptone_bacteriologicallp0037bthermofisher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Oxoid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recommandée : substances chimiques de laboratoire.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2026-03-09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2026-03-09.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pas disponible</w:t>
      </w:r>
    </w:p>
    <w:p>
      <w:pPr>
        <w:pStyle w:val="Compact"/>
        <w:numPr>
          <w:ilvl w:val="0"/>
          <w:numId w:val="1003"/>
        </w:numPr>
      </w:pPr>
      <w:r>
        <w:t xml:space="preserve">RID : pas disponible</w:t>
      </w:r>
    </w:p>
    <w:p>
      <w:pPr>
        <w:pStyle w:val="Compact"/>
        <w:numPr>
          <w:ilvl w:val="0"/>
          <w:numId w:val="1003"/>
        </w:numPr>
      </w:pPr>
      <w:r>
        <w:t xml:space="preserve">ADN : pas disponible</w:t>
      </w:r>
    </w:p>
    <w:p>
      <w:pPr>
        <w:pStyle w:val="Compact"/>
        <w:numPr>
          <w:ilvl w:val="0"/>
          <w:numId w:val="1003"/>
        </w:numPr>
      </w:pPr>
      <w:r>
        <w:t xml:space="preserve">IMDG : pas disponible</w:t>
      </w:r>
    </w:p>
    <w:p>
      <w:pPr>
        <w:pStyle w:val="Compact"/>
        <w:numPr>
          <w:ilvl w:val="0"/>
          <w:numId w:val="1003"/>
        </w:numPr>
      </w:pPr>
      <w:r>
        <w:t xml:space="preserve">IATA : pas disponible</w:t>
      </w:r>
    </w:p>
    <w:p>
      <w:pPr>
        <w:pStyle w:val="Compact"/>
        <w:numPr>
          <w:ilvl w:val="0"/>
          <w:numId w:val="1003"/>
        </w:numPr>
      </w:pPr>
      <w:r>
        <w:t xml:space="preserve">UN : pas disponible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immédiatement et abondamment à l’eau pendant au moins 15 minutes. Consulter immédiatement un médecin en cas de symptômes.</w:t>
      </w:r>
    </w:p>
    <w:p>
      <w:pPr>
        <w:pStyle w:val="BodyText"/>
      </w:pPr>
      <w:r>
        <w:t xml:space="preserve">eyes : Rincer immédiatement et abondamment à l’eau, y compris sous les paupières, pendant au moins 15 minutes. Consulter un médecin.</w:t>
      </w:r>
    </w:p>
    <w:p>
      <w:pPr>
        <w:pStyle w:val="BodyText"/>
      </w:pPr>
      <w:r>
        <w:t xml:space="preserve">ingestion : Nettoyer la bouche à l’eau puis boire une grande quantité d’eau. Consulter un médecin en cas de symptômes.</w:t>
      </w:r>
    </w:p>
    <w:p>
      <w:pPr>
        <w:pStyle w:val="BodyText"/>
      </w:pPr>
      <w:r>
        <w:t xml:space="preserve">inhalation : Transporter la victime à l’air frais. Consulter immédiatement un médecin en cas de symptômes.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jetables. - Références aux normes EN 374 (recommandations minimales du fabricant).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Lunettes de sécurité à écrans latéraux ou des lunettes étanches. - Norme européenne : EN 166.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jetables. - Références aux normes EN 374 (recommandations minimales du fabricant). - Indications de matériau, épaisseur, temps de pénétration et permeabilité sont à consulter auprès du fournisseur.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Aucune exigence d’EPI respiratoire dans les conditions d’utilisation normales. - En cas d’utilisation à grande échelle ou d’urgence : utiliser un appareil respiratoire approuvé NIOSH / MSHA ou conforme à la norme européenne EN 136.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Porter des vêtements à manches longues.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Porter un équipement de protection individuelle/un équipement de protection du visage. - Mettre en place une ventilation adaptée. - Éviter tout contact avec la peau, les yeux et les vêtements. - Éviter l’ingestion et l’inhalation. - Éviter la formation de poussières. - Manipuler conformément aux bonnes pratiques industrielles d’hygiène et de sécurité. - Conserver à l’écart des aliments et boissons, y compris ceux pour animaux. - Ne pas manger, boire ou fumer en manipulant ce produit. - Retirer et laver les gants et vêtements contaminés, y compris leur doublure intérieure, avant réutilisation. - Se laver les mains avant les pauses et après le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le récipient bien fermé, au sec et dans un endroit bien ventilé.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recommandée : substances chimiques de laboratoire.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2026-07-06T11:45:02Z</dcterms:created>
  <dcterms:modified xsi:type="dcterms:W3CDTF">2026-07-06T11:45:02Z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