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perfringens_tsc_selective_supplementsr0088ethermofisher</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Oxoid Ltd</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2026-07-06</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0.7.1</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perfringens_tsc_selective_supplementsr0088ethermofisher</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35" w:name="Xd6a10d4267f06df5868f87810845e8a43c86da3"/>
    <w:p>
      <w:pPr>
        <w:pStyle w:val="Heading1"/>
      </w:pPr>
      <w:r>
        <w:t xml:space="preserve">Analyse des dangers : perfringens_tsc_selective_supplementsr0088ethermofisher</w:t>
      </w:r>
    </w:p>
    <w:p>
      <w:pPr>
        <w:pStyle w:val="FirstParagraph"/>
      </w:pPr>
      <w:r>
        <w:t xml:space="preserve">Dans la suite, nous détaillons les dangers associés au produit</w:t>
      </w:r>
      <w:r>
        <w:t xml:space="preserve"> </w:t>
      </w:r>
      <w:r>
        <w:rPr>
          <w:b/>
          <w:bCs/>
        </w:rPr>
        <w:t xml:space="preserve">perfringens_tsc_selective_supplementsr0088ethermofisher</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Oxoid Ltd</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solide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granulés (granules)</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Non disponible</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Utilisation recommandée : substances chimiques de laboratoire.</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2026-02-24</w:t>
            </w:r>
          </w:p>
        </w:tc>
      </w:tr>
    </w:tbl>
    <w:p>
      <w:pPr>
        <w:pStyle w:val="BodyText"/>
      </w:pPr>
      <w:r>
        <w:t xml:space="preserve"> </w:t>
      </w:r>
      <w:r>
        <w:t xml:space="preserve">La FDS date du 2026-02-24. Elle a donc 0 an(s).</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0"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Not Applicable</w:t>
      </w:r>
    </w:p>
    <w:p>
      <w:pPr>
        <w:pStyle w:val="BodyText"/>
      </w:pPr>
      <w:r>
        <w:rPr>
          <w:b/>
          <w:bCs/>
        </w:rPr>
        <w:t xml:space="preserve">Pictogrammes (SGH)</w:t>
      </w:r>
      <w:r>
        <w:t xml:space="preserve"> </w:t>
      </w:r>
      <w:r>
        <w:t xml:space="preserve">:</w:t>
      </w:r>
    </w:p>
    <w:p>
      <w:pPr>
        <w:pStyle w:val="BodyText"/>
      </w:pPr>
      <w:r>
        <w:rPr>
          <w:b/>
          <w:bCs/>
        </w:rPr>
        <w:t xml:space="preserve">Mentions de danger</w:t>
      </w:r>
      <w:r>
        <w:t xml:space="preserve"> </w:t>
      </w:r>
      <w:r>
        <w:t xml:space="preserve">:</w:t>
      </w:r>
    </w:p>
    <w:p>
      <w:pPr>
        <w:pStyle w:val="BodyText"/>
      </w:pPr>
      <w:r>
        <w:rPr>
          <w:b/>
          <w:bCs/>
        </w:rPr>
        <w:t xml:space="preserve">Conseils de prudence</w:t>
      </w:r>
      <w:r>
        <w:t xml:space="preserve"> </w:t>
      </w:r>
      <w:r>
        <w:t xml:space="preserve">:</w:t>
      </w:r>
    </w:p>
    <w:p>
      <w:pPr>
        <w:pStyle w:val="BodyText"/>
      </w:pPr>
      <w:r>
        <w:rPr>
          <w:b/>
          <w:bCs/>
        </w:rPr>
        <w:t xml:space="preserve">Transport</w:t>
      </w:r>
      <w:r>
        <w:t xml:space="preserve"> </w:t>
      </w:r>
      <w:r>
        <w:t xml:space="preserve">:</w:t>
      </w:r>
    </w:p>
    <w:p>
      <w:pPr>
        <w:pStyle w:val="Compact"/>
        <w:numPr>
          <w:ilvl w:val="0"/>
          <w:numId w:val="1003"/>
        </w:numPr>
      </w:pPr>
      <w:r>
        <w:t xml:space="preserve">ADR : -</w:t>
      </w:r>
    </w:p>
    <w:p>
      <w:pPr>
        <w:pStyle w:val="Compact"/>
        <w:numPr>
          <w:ilvl w:val="0"/>
          <w:numId w:val="1003"/>
        </w:numPr>
      </w:pPr>
      <w:r>
        <w:t xml:space="preserve">RID : -</w:t>
      </w:r>
    </w:p>
    <w:p>
      <w:pPr>
        <w:pStyle w:val="Compact"/>
        <w:numPr>
          <w:ilvl w:val="0"/>
          <w:numId w:val="1003"/>
        </w:numPr>
      </w:pPr>
      <w:r>
        <w:t xml:space="preserve">ADN : -</w:t>
      </w:r>
    </w:p>
    <w:p>
      <w:pPr>
        <w:pStyle w:val="Compact"/>
        <w:numPr>
          <w:ilvl w:val="0"/>
          <w:numId w:val="1003"/>
        </w:numPr>
      </w:pPr>
      <w:r>
        <w:t xml:space="preserve">IMDG : -</w:t>
      </w:r>
    </w:p>
    <w:p>
      <w:pPr>
        <w:pStyle w:val="Compact"/>
        <w:numPr>
          <w:ilvl w:val="0"/>
          <w:numId w:val="1003"/>
        </w:numPr>
      </w:pPr>
      <w:r>
        <w:t xml:space="preserve">IATA : -</w:t>
      </w:r>
    </w:p>
    <w:p>
      <w:pPr>
        <w:pStyle w:val="Compact"/>
        <w:numPr>
          <w:ilvl w:val="0"/>
          <w:numId w:val="1003"/>
        </w:numPr>
      </w:pPr>
      <w:r>
        <w:t xml:space="preserve">UN : -</w:t>
      </w:r>
    </w:p>
    <w:bookmarkEnd w:id="30"/>
    <w:bookmarkStart w:id="31" w:name="Xda6f178de632779b007ca26fa4959a763d2c7f4"/>
    <w:p>
      <w:pPr>
        <w:pStyle w:val="Heading2"/>
      </w:pPr>
      <w:r>
        <w:t xml:space="preserve">Dangers et/ou mesures par voie d’exposition</w:t>
      </w:r>
    </w:p>
    <w:p>
      <w:pPr>
        <w:pStyle w:val="FirstParagraph"/>
      </w:pPr>
      <w:r>
        <w:t xml:space="preserve">skin : Rincer immédiatement et abondamment à l’eau pendant au moins 15 minutes. Consulter immédiatement un médecin en cas de symptômes.</w:t>
      </w:r>
    </w:p>
    <w:p>
      <w:pPr>
        <w:pStyle w:val="BodyText"/>
      </w:pPr>
      <w:r>
        <w:t xml:space="preserve">eyes : Rincer immédiatement et abondamment à l’eau, y compris sous les paupières, pendant au moins 15 minutes. Consulter un médecin.</w:t>
      </w:r>
    </w:p>
    <w:p>
      <w:pPr>
        <w:pStyle w:val="BodyText"/>
      </w:pPr>
      <w:r>
        <w:t xml:space="preserve">ingestion : Nettoyer la bouche à l’eau puis boire une grande quantité d’eau. Consulter un médecin en cas de symptômes.</w:t>
      </w:r>
    </w:p>
    <w:p>
      <w:pPr>
        <w:pStyle w:val="BodyText"/>
      </w:pPr>
      <w:r>
        <w:t xml:space="preserve">inhalation : Transporter la victime à l’air frais. Consulter immédiatement un médecin en cas de symptômes.</w:t>
      </w:r>
    </w:p>
    <w:p>
      <w:r>
        <w:br w:type="page"/>
      </w:r>
    </w:p>
    <w:bookmarkEnd w:id="31"/>
    <w:bookmarkStart w:id="32" w:name="Xd3fd47f9279b52cc9d4b00e07bdfde0bea6594f"/>
    <w:p>
      <w:pPr>
        <w:pStyle w:val="Heading2"/>
      </w:pPr>
      <w:r>
        <w:t xml:space="preserve">Informations relatives aux substances dangereuses présentes</w:t>
      </w:r>
    </w:p>
    <w:bookmarkEnd w:id="32"/>
    <w:bookmarkStart w:id="33"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Gants de protection. Matériau : non précisé dans le document (à vérifier auprès du fournisseur). Temps de passage : non précisé. Épaisseur des gants : non précisé. Norme EN 374. Gants jetables recommandés. Consulter les recommandations du fabricant (exigence minimale). Inspecter les gants avant utilisation. Observer les instructions de perméabilité et de temps de pénétration fournies par le fournisseur.</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Lunettes de sécurité à écrans latéraux ou lunettes étanches. Norme européenne EN 166. À porter en cas de probabilité d’éclaboussures.</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Aucun équipement de protection respiratoire n’est exigé sous des conditions d’utilisation normale. À grande échelle / utilisation d’urgence : Utiliser un appareil respiratoire approuvé NIOSH / MSHA ou la norme européenne EN 136. Type de filtre recommandé : filtre à particules. Normes NIOSH/MSHA, EN 136. À employer uniquement si les limites d’exposition sont dépassées ou si des symptômes d’irritation apparaissent.</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Vêtements à manches longues. Non spécifié. Porter des vêtements longs pour éviter tout contact avec la peau.</w:t>
            </w:r>
          </w:p>
        </w:tc>
      </w:tr>
    </w:tbl>
    <w:bookmarkEnd w:id="33"/>
    <w:bookmarkStart w:id="34"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 Porter un équipement de protection individuelle/un équipement de protection du visage. - Mettre en place une ventilation adaptée. - Éviter l’ingestion et l’inhalation. - Éviter la formation de poussières. - Éviter tout contact avec la peau, les yeux et les vêtements. - Manipuler conformément aux bonnes pratiques industrielles d’hygiène et de sécurité. - Conserver à l’écart des aliments et boissons, y compris ceux pour animaux. - Ne pas manger, boire ou fumer en manipulant ce produit. - Retirer et laver les gants et vêtements contaminés, y compris leur doublure intérieure, avant réutilisation. - Se laver les mains avant les pauses et après le travail.</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Conserver les récipients bien fermés, au sec et dans un endroit frais et bien ventilé. Le produit est sensible à l’air. Aucun matériau incompatible n’est mentionné.</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Utilisation recommandée : substances chimiques de laboratoire.</w:t>
            </w:r>
          </w:p>
        </w:tc>
      </w:tr>
    </w:tbl>
    <w:bookmarkEnd w:id="34"/>
    <w:bookmarkEnd w:id="35"/>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5D4391"/>
    <w:rsid w:val="006148BD"/>
    <w:rsid w:val="00666DED"/>
    <w:rsid w:val="008165A3"/>
    <w:rsid w:val="00860E1D"/>
    <w:rsid w:val="008662B7"/>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Hyperlink" w:type="character">
    <w:name w:val="Hyperlink"/>
    <w:basedOn w:val="DefaultParagraphFont"/>
    <w:uiPriority w:val="99"/>
    <w:unhideWhenUsed/>
    <w:rsid w:val="008662B7"/>
    <w:rPr>
      <w:color w:themeColor="hyperlink" w:val="467886"/>
      <w:u w:val="single"/>
    </w:rPr>
  </w:style>
  <w:style w:styleId="UnresolvedMention" w:type="character">
    <w:name w:val="Unresolved Mention"/>
    <w:basedOn w:val="DefaultParagraphFont"/>
    <w:uiPriority w:val="99"/>
    <w:semiHidden/>
    <w:unhideWhenUsed/>
    <w:rsid w:val="008662B7"/>
    <w:rPr>
      <w:color w:val="605E5C"/>
      <w:shd w:color="auto" w:fill="E1DFDD" w:val="cle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23" Type="http://schemas.openxmlformats.org/officeDocument/2006/relationships/image" Target="media/rId23.png"/><Relationship Id="rId20" Type="http://schemas.openxmlformats.org/officeDocument/2006/relationships/image" Target="media/rId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38</Words>
  <Characters>167</Characters>
  <Application>Microsoft Office Word</Application>
  <DocSecurity>0</DocSecurity>
  <Lines>16</Lines>
  <Paragraphs>18</Paragraphs>
  <ScaleCrop>false</ScaleCrop>
  <Company/>
  <LinksUpToDate>false</LinksUpToDate>
  <CharactersWithSpaces>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2026-07-06T11:45:08Z</dcterms:created>
  <dcterms:modified xsi:type="dcterms:W3CDTF">2026-07-06T11:45:08Z</dcterms:modified>
</cp:coreProperties>
</file>

<file path=docProps/custom.xml><?xml version="1.0" encoding="utf-8"?>
<Properties xmlns="http://schemas.openxmlformats.org/officeDocument/2006/custom-properties" xmlns:vt="http://schemas.openxmlformats.org/officeDocument/2006/docPropsVTypes"/>
</file>