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pseudomonas-cfc-supplement-oxoid-sr103-10-tubes-qsp-5l-023000103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Oxoid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pseudomonas-cfc-supplement-oxoid-sr103-10-tubes-qsp-5l-023000103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7" w:name="Xa5eca76125fbb8735275609b584944a4bbdd0df"/>
    <w:p>
      <w:pPr>
        <w:pStyle w:val="Heading1"/>
      </w:pPr>
      <w:r>
        <w:t xml:space="preserve">Analyse des dangers : pseudomonas-cfc-supplement-oxoid-sr103-10-tubes-qsp-5l-023000103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pseudomonas-cfc-supplement-oxoid-sr103-10-tubes-qsp-5l-023000103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Oxoid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granulés (lyophilisé)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recommandée : substances chimiques de laboratoire.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2021-12-10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2021-12-10. Elle a donc 4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4" name="Picture"/>
            <a:graphic>
              <a:graphicData uri="http://schemas.openxmlformats.org/drawingml/2006/picture">
                <pic:pic>
                  <pic:nvPicPr>
                    <pic:cNvPr descr="templates/SGH08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3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numPr>
          <w:ilvl w:val="0"/>
          <w:numId w:val="1003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P304+P340</w:t>
      </w:r>
      <w:r>
        <w:t xml:space="preserve"> </w:t>
      </w:r>
      <w:r>
        <w:t xml:space="preserve">EN CAS D’INHALATION:</w:t>
      </w:r>
    </w:p>
    <w:p>
      <w:pPr>
        <w:numPr>
          <w:ilvl w:val="0"/>
          <w:numId w:val="1004"/>
        </w:numPr>
      </w:pPr>
      <w:r>
        <w:t xml:space="preserve">P312</w:t>
      </w:r>
      <w:r>
        <w:t xml:space="preserve"> </w:t>
      </w:r>
      <w:r>
        <w:t xml:space="preserve">P312</w:t>
      </w:r>
    </w:p>
    <w:p>
      <w:pPr>
        <w:numPr>
          <w:ilvl w:val="0"/>
          <w:numId w:val="1004"/>
        </w:numPr>
      </w:pPr>
      <w:r>
        <w:t xml:space="preserve">P333+P313</w:t>
      </w:r>
      <w:r>
        <w:t xml:space="preserve"> </w:t>
      </w:r>
      <w:r>
        <w:t xml:space="preserve">En cas d’irritation ou d’éruption cutanée: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pas disponible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pas disponible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pas disponible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immédiatement à l’eau et au savon.</w:t>
      </w:r>
      <w:r>
        <w:t xml:space="preserve"> </w:t>
      </w:r>
      <w:r>
        <w:t xml:space="preserve">Retirer les chaussures et vêtements contaminés.</w:t>
      </w:r>
      <w:r>
        <w:t xml:space="preserve"> </w:t>
      </w:r>
      <w:r>
        <w:t xml:space="preserve">Consulter immédiatement un médecin en cas de symptômes.</w:t>
      </w:r>
    </w:p>
    <w:p>
      <w:pPr>
        <w:pStyle w:val="BodyText"/>
      </w:pPr>
      <w:r>
        <w:t xml:space="preserve">eyes : Rincer immédiatement et abondamment à l’eau.</w:t>
      </w:r>
      <w:r>
        <w:t xml:space="preserve"> </w:t>
      </w:r>
      <w:r>
        <w:t xml:space="preserve">Consulter un médecin.</w:t>
      </w:r>
    </w:p>
    <w:p>
      <w:pPr>
        <w:pStyle w:val="BodyText"/>
      </w:pPr>
      <w:r>
        <w:t xml:space="preserve">ingestion : Nettoyer la bouche à l’eau.</w:t>
      </w:r>
      <w:r>
        <w:t xml:space="preserve"> </w:t>
      </w:r>
      <w:r>
        <w:t xml:space="preserve">Boire une grande quantité d’eau.</w:t>
      </w:r>
      <w:r>
        <w:t xml:space="preserve"> </w:t>
      </w:r>
      <w:r>
        <w:t xml:space="preserve">Consulter immédiatement un médecin en cas de symptômes.</w:t>
      </w:r>
    </w:p>
    <w:p>
      <w:pPr>
        <w:pStyle w:val="BodyText"/>
      </w:pPr>
      <w:r>
        <w:t xml:space="preserve">inhalation : Transporter la victime à l’air frais.</w:t>
      </w:r>
      <w:r>
        <w:t xml:space="preserve"> </w:t>
      </w:r>
      <w:r>
        <w:t xml:space="preserve">Consulter immédiatement un médecin.</w:t>
      </w:r>
    </w:p>
    <w:p>
      <w:r>
        <w:br w:type="page"/>
      </w:r>
    </w:p>
    <w:bookmarkEnd w:id="37"/>
    <w:bookmarkStart w:id="4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cefalotin-sodium"/>
    <w:p>
      <w:pPr>
        <w:pStyle w:val="Heading3"/>
      </w:pPr>
      <w:r>
        <w:t xml:space="preserve">Cefalotin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58-71-9</w:t>
      </w:r>
    </w:p>
    <w:p>
      <w:pPr>
        <w:pStyle w:val="Compact"/>
        <w:numPr>
          <w:ilvl w:val="0"/>
          <w:numId w:val="1006"/>
        </w:numPr>
      </w:pPr>
      <w:r>
        <w:t xml:space="preserve">N° EINECS : 200-394-6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33.0 to 35.0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7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41" w:name="hexadecyltrimethylammonium-bromide"/>
    <w:p>
      <w:pPr>
        <w:pStyle w:val="Heading3"/>
      </w:pPr>
      <w:r>
        <w:t xml:space="preserve">Hexadecyltrimethylammonium bromide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57-09-0</w:t>
      </w:r>
    </w:p>
    <w:p>
      <w:pPr>
        <w:pStyle w:val="Compact"/>
        <w:numPr>
          <w:ilvl w:val="0"/>
          <w:numId w:val="1008"/>
        </w:numPr>
      </w:pPr>
      <w:r>
        <w:t xml:space="preserve">N° EINECS : 200-311-3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6.65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9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09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0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0"/>
    <w:bookmarkEnd w:id="41"/>
    <w:bookmarkStart w:id="43" w:name="sodium-fusidate"/>
    <w:p>
      <w:pPr>
        <w:pStyle w:val="Heading3"/>
      </w:pPr>
      <w:r>
        <w:t xml:space="preserve">Sodium fusidate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751-94-0</w:t>
      </w:r>
    </w:p>
    <w:p>
      <w:pPr>
        <w:pStyle w:val="Compact"/>
        <w:numPr>
          <w:ilvl w:val="0"/>
          <w:numId w:val="1010"/>
        </w:numPr>
      </w:pPr>
      <w:r>
        <w:t xml:space="preserve">N° EINECS : 212-030-3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6.65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1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2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2"/>
    <w:bookmarkEnd w:id="43"/>
    <w:bookmarkEnd w:id="44"/>
    <w:bookmarkStart w:id="4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jetables (ou réutilisables) • Matériau : non précisé (à vérifier auprès du fabricant). • Temps de passage : non précisé. • Épaisseur : non précisé. • Norme européenne : EN 374 (exigence minimale). • Commentaires : « Voir les recommandations du fabricant » (EN 374).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protection conformes à la norme européenne EN 166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Respirateurs homologués (en fonction de la concentration) : NIOSH/MSHA ou EN 149:2001 • En cas de concentrations supérieures aux limites d’exposition, utiliser des respirateurs homologués correspondants. • À grande échelle / utilisation d’urgence : porter un appareil respiratoire approprié en cas de ventilation insuffisante. • À petite échelle / utilisation en laboratoire : utiliser un appareil respiratoire approuvé NIOSH/MSHA ou conforme à la norme européenne EN 149:2001 si les limites d’exposition sont dépassées ou si des symptômes d’irritation sont observés. • Test d’adéquation du masque à effectuer lorsqu’un PRE (Protection Respiratoire d’Exposition) est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45"/>
    <w:bookmarkStart w:id="4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Éviter tout contact avec la peau, les yeux et les vêtements. Ne pas respirer les poussières. Porter un équipement de protection individuelle/un équipement de protection du visage. Mesures d’hygiène : ne pas manger, ne pas boire et ne pas fumer pendant l’utilisation. Retirer et laver les gants et vêtements contaminés, y compris leur doublure intérieure, avant réutilisation.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les récipients bien fermés et dans un endroit frais et bien ventilé.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recommandée : substances chimiques de laboratoire.</w:t>
            </w:r>
          </w:p>
        </w:tc>
      </w:tr>
    </w:tbl>
    <w:bookmarkEnd w:id="46"/>
    <w:bookmarkEnd w:id="4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2026-07-06T11:45:27Z</dcterms:created>
  <dcterms:modified xsi:type="dcterms:W3CDTF">2026-07-06T11:45:27Z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