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rapidsupplementgrosseboitebiorad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rapidsupplementgrosseboitebiorad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9" w:name="Xa2375adb05b0b9fa8ab40c0874baedd4ff71638"/>
    <w:p>
      <w:pPr>
        <w:pStyle w:val="Heading1"/>
      </w:pPr>
      <w:r>
        <w:t xml:space="preserve">Analyse des dangers : rapidsupplementgrosseboitebiorad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rapidsupplementgrosseboitebiorad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Réactif de laboratoire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2015-07-08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2015-07-08.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4" name="Picture"/>
            <a:graphic>
              <a:graphicData uri="http://schemas.openxmlformats.org/drawingml/2006/picture">
                <pic:pic>
                  <pic:nvPicPr>
                    <pic:cNvPr descr="templates/SGH08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P284</w:t>
      </w:r>
      <w:r>
        <w:t xml:space="preserve"> </w:t>
      </w:r>
      <w:r>
        <w:t xml:space="preserve">P284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P321</w:t>
      </w:r>
      <w:r>
        <w:t xml:space="preserve"> </w:t>
      </w:r>
      <w:r>
        <w:t xml:space="preserve">Traitement spécifique (voir … sur cette étiquette).</w:t>
      </w:r>
    </w:p>
    <w:p>
      <w:pPr>
        <w:numPr>
          <w:ilvl w:val="0"/>
          <w:numId w:val="1004"/>
        </w:numPr>
      </w:pPr>
      <w:r>
        <w:t xml:space="preserve">P333+P313</w:t>
      </w:r>
      <w:r>
        <w:t xml:space="preserve"> </w:t>
      </w:r>
      <w:r>
        <w:t xml:space="preserve">En cas d’irritation ou d’éruption cutanée: consulter un médecin.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la zone touchée à l’eau et au savon, puis bien rincer.</w:t>
      </w:r>
    </w:p>
    <w:p>
      <w:pPr>
        <w:pStyle w:val="BodyText"/>
      </w:pPr>
      <w:r>
        <w:t xml:space="preserve">eyes : Rincer les yeux à l’eau courante pendant plusieurs minutes, en écartant bien les paupières.</w:t>
      </w:r>
    </w:p>
    <w:p>
      <w:pPr>
        <w:pStyle w:val="BodyText"/>
      </w:pPr>
      <w:r>
        <w:t xml:space="preserve">ingestion : Consulter un médecin si nécessaire.</w:t>
      </w:r>
    </w:p>
    <w:p>
      <w:pPr>
        <w:pStyle w:val="BodyText"/>
      </w:pPr>
      <w:r>
        <w:t xml:space="preserve">inhalation : Donner de l’air frais. Si des troubles apparaissent, consulter un médecin.</w:t>
      </w:r>
    </w:p>
    <w:p>
      <w:r>
        <w:br w:type="page"/>
      </w:r>
    </w:p>
    <w:bookmarkEnd w:id="37"/>
    <w:bookmarkStart w:id="4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amidon"/>
    <w:p>
      <w:pPr>
        <w:pStyle w:val="Heading3"/>
      </w:pPr>
      <w:r>
        <w:t xml:space="preserve">Amidon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9005-25-8</w:t>
      </w:r>
    </w:p>
    <w:p>
      <w:pPr>
        <w:pStyle w:val="Compact"/>
        <w:numPr>
          <w:ilvl w:val="0"/>
          <w:numId w:val="1006"/>
        </w:numPr>
      </w:pPr>
      <w:r>
        <w:t xml:space="preserve">N° EINECS : 232-679-6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10.0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sulfadiazine"/>
    <w:p>
      <w:pPr>
        <w:pStyle w:val="Heading3"/>
      </w:pPr>
      <w:r>
        <w:t xml:space="preserve">Sulfadiazine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68-35-9</w:t>
      </w:r>
    </w:p>
    <w:p>
      <w:pPr>
        <w:pStyle w:val="Compact"/>
        <w:numPr>
          <w:ilvl w:val="0"/>
          <w:numId w:val="1007"/>
        </w:numPr>
      </w:pPr>
      <w:r>
        <w:t xml:space="preserve">N° EINECS : 200-685-8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8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talc"/>
    <w:p>
      <w:pPr>
        <w:pStyle w:val="Heading3"/>
      </w:pPr>
      <w:r>
        <w:t xml:space="preserve">Talc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14807-96-6</w:t>
      </w:r>
    </w:p>
    <w:p>
      <w:pPr>
        <w:pStyle w:val="Compact"/>
        <w:numPr>
          <w:ilvl w:val="0"/>
          <w:numId w:val="1009"/>
        </w:numPr>
      </w:pPr>
      <w:r>
        <w:t xml:space="preserve">N° EINECS : 238-877-9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Start w:id="45" w:name="novobiocin-sodium-salt"/>
    <w:p>
      <w:pPr>
        <w:pStyle w:val="Heading3"/>
      </w:pPr>
      <w:r>
        <w:t xml:space="preserve">Novobiocin sodium salt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1476-53-5</w:t>
      </w:r>
    </w:p>
    <w:p>
      <w:pPr>
        <w:pStyle w:val="Compact"/>
        <w:numPr>
          <w:ilvl w:val="0"/>
          <w:numId w:val="1010"/>
        </w:numPr>
      </w:pPr>
      <w:r>
        <w:t xml:space="preserve">N° EINECS : 216-023-6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4"/>
    <w:bookmarkEnd w:id="45"/>
    <w:bookmarkEnd w:id="46"/>
    <w:bookmarkStart w:id="4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recommandée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7"/>
    <w:bookmarkStart w:id="4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la formation de poussière. - Éviter tout contact avec les réactifs, même considérés comme non dangereux. - Suivre les Bonnes Pratiques de Laboratoire. - Prendre des précautions particulières pour les personnes allergiques aux antibiotiques.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exigence particulière n’est requise: - Lieu et conteneurs de stockage: aucune exigence particulière. - Stockage commun: pas nécessaire. - Autres indications sur les conditions de stockage: néant.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Réactif de laboratoire</w:t>
            </w:r>
          </w:p>
        </w:tc>
      </w:tr>
    </w:tbl>
    <w:bookmarkEnd w:id="48"/>
    <w:bookmarkEnd w:id="4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2026-07-06T11:45:35Z</dcterms:created>
  <dcterms:modified xsi:type="dcterms:W3CDTF">2026-07-06T11:45:35Z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