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rvsbrothledtechno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rvsbrothledtechno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analyse-des-dangers-rvsbrothledtechno"/>
    <w:p>
      <w:pPr>
        <w:pStyle w:val="Heading1"/>
      </w:pPr>
      <w:r>
        <w:t xml:space="preserve">Analyse des dangers : rvsbrothledtechno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rvsbrothledtechno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solution limpide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– 5,4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2025-12-03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2025-12-03.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Consulter un médecin si la douleur ou la rougeur persistent.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Appeler un centre antipoison ou un médecin en cas de malaise.</w:t>
      </w:r>
    </w:p>
    <w:p>
      <w:pPr>
        <w:pStyle w:val="BodyText"/>
      </w:pPr>
      <w:r>
        <w:t xml:space="preserve">inhalation : Si difficulté à respirer, transporter la victime à l’extérieur et la maintenir au repos dans une position où elle peut respirer confortablement.</w:t>
      </w:r>
      <w:r>
        <w:t xml:space="preserve"> </w:t>
      </w:r>
      <w:r>
        <w:t xml:space="preserve">Appeler un centre antipoison ou un médecin en cas de malaise.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gants appropriés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lunettes de sécurité à protection latérale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Équipement de protection respiratoire approprié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un vêtement de protection approprié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Ne pas respirer les poussières. - Porter un équipement de protection individuel.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Température de stockage : 2 – 8 °C. Aucune incompatibilité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2026-07-06T11:45:41Z</dcterms:created>
  <dcterms:modified xsi:type="dcterms:W3CDTF">2026-07-06T11:45:41Z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