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selectivestecsupplementbiorad3564005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 Laboratories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selectivestecsupplementbiorad3564005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2" w:name="X5939ea7977bf8620d8874d79e876332fff11702"/>
    <w:p>
      <w:pPr>
        <w:pStyle w:val="Heading1"/>
      </w:pPr>
      <w:r>
        <w:t xml:space="preserve">Analyse des dangers : selectivestecsupplementbiorad3564005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selectivestecsupplementbiorad3564005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 Laboratories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not available in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2025-10-03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2025-10-03.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et abondamment à l’eau savonneuse pendant au moins 15 minutes.</w:t>
      </w:r>
      <w:r>
        <w:t xml:space="preserve"> </w:t>
      </w:r>
      <w:r>
        <w:t xml:space="preserve">En cas d’irritation cutanée ou de réactions allergiques, consulter un médecin.</w:t>
      </w:r>
    </w:p>
    <w:p>
      <w:pPr>
        <w:pStyle w:val="BodyText"/>
      </w:pPr>
      <w:r>
        <w:t xml:space="preserve">eyes : Rincer immédiatement et abondamment à l’eau, y compris sous les paupières, pendant au moins 15 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rincer, maintenir l’œil grand ouvert, ne pas frotter.</w:t>
      </w:r>
      <w:r>
        <w:t xml:space="preserve"> </w:t>
      </w:r>
      <w:r>
        <w:t xml:space="preserve">Consulter un médecin si une irritation se développe et persiste.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Rincer la bouche.</w:t>
      </w:r>
      <w:r>
        <w:t xml:space="preserve"> </w:t>
      </w:r>
      <w:r>
        <w:t xml:space="preserve">Ne jamais faire ingérer quoi que ce soit à une personne inconsciente.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inhalation : Transporter la victime à l’air frais.</w:t>
      </w:r>
      <w:r>
        <w:t xml:space="preserve"> </w:t>
      </w:r>
      <w:r>
        <w:t xml:space="preserve">En cas d’exposition prouvée ou suspectée, consulter immédiatement un médecin.</w:t>
      </w:r>
    </w:p>
    <w:p>
      <w:r>
        <w:br w:type="page"/>
      </w:r>
    </w:p>
    <w:bookmarkEnd w:id="34"/>
    <w:bookmarkStart w:id="3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vancomycin-hydrochloride"/>
    <w:p>
      <w:pPr>
        <w:pStyle w:val="Heading3"/>
      </w:pPr>
      <w:r>
        <w:t xml:space="preserve">Vancomycin hydrochloride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1404-93-9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X4ea7888bf7781fa7a2b2701b7735cdfee5783bd"/>
    <w:p>
      <w:pPr>
        <w:pStyle w:val="Heading3"/>
      </w:pPr>
      <w:r>
        <w:t xml:space="preserve">Pyridinium, 4-(aminocarbonyl)-1-[[[2-carboxy-8-oxo-7-[(phenylsulfoacetyl) amino]-5-thia-1-azabicyclo[4.2.0]oct-2-en-3-yl]methyl]-, inner salt, monosodium salt, [6R-{6.alpha.,7.beta.(R*)}]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52152-93-9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35.0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End w:id="39"/>
    <w:bookmarkStart w:id="4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 Gants appropriés, gants imperméables Aucun type de matériau, épaisseur ou temps de perçage précisé.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Lunettes de sécurité à écrans latéraux ou lunettes étanches Aucun matériau, épaisseur ou filtre supplémentaire mentionné.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Aucun équipement de protection respiratoire requis dans les conditions normales d’utilisation Aucun filtre, masque ou type de protection respiratoire indiqué.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Vêtement de protection approprié, vêtements à manches longues Aucun détail sur le matériau, la résistance ou la protection contre les éclaboussures.</w:t>
            </w:r>
          </w:p>
        </w:tc>
      </w:tr>
    </w:tbl>
    <w:bookmarkEnd w:id="40"/>
    <w:bookmarkStart w:id="4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Manipuler conformément aux bonnes pratiques industrielles d’hygiène et de sécurité. - Éviter tout contact avec la peau, les yeux et les vêtements. - Mettre en place une ventilation adaptée. - En cas de ventilation insuffisante, porter un appareil respiratoire approprié. - Ne pas manger, boire ou fumer en manipulant ce produit. - Enlever les vêtements contaminés et les laver avant réutilisation. - Éviter de respirer les vapeurs ou les brouillards. - Porter des gants appropriés et un appareil de protection des yeux/du visage. - Porter un vêtement de protection approprié (vêtements à manches longues).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les récipients bien fermés, au sec et dans un endroit frais et bien ventilé, conformément aux instructions du produit et de l’étiquette. Aucun détail d’incompatibilités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not available in document.</w:t>
            </w:r>
          </w:p>
        </w:tc>
      </w:tr>
    </w:tbl>
    <w:bookmarkEnd w:id="41"/>
    <w:bookmarkEnd w:id="4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2026-07-06T11:45:50Z</dcterms:created>
  <dcterms:modified xsi:type="dcterms:W3CDTF">2026-07-06T11:45:50Z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