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staa_selective_supplement_mtr_clp1_fr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staa_selective_supplement_mtr_clp1_fr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0" w:name="X24080a3ae6c4c5b44c1005b587254a2e0bbb5a7"/>
    <w:p>
      <w:pPr>
        <w:pStyle w:val="Heading1"/>
      </w:pPr>
      <w:r>
        <w:t xml:space="preserve">Analyse des dangers : staa_selective_supplement_mtr_clp1_fr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staa_selective_supplement_mtr_clp1_fr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granulés (granules)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2021-12-10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2021-12-10.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Cycloheximide devrait être classée H360D***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Thallium(I) acetate devrait être classée H373** selon les dernières classifications harmonisées publiées par l’ECHA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Toxicité aiguë" title="" id="31" name="Picture"/>
            <a:graphic>
              <a:graphicData uri="http://schemas.openxmlformats.org/drawingml/2006/picture">
                <pic:pic>
                  <pic:nvPicPr>
                    <pic:cNvPr descr="templates/SGH06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  <w:r>
        <w:t xml:space="preserve"> </w:t>
      </w: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H300</w:t>
      </w:r>
      <w:r>
        <w:t xml:space="preserve"> </w:t>
      </w:r>
      <w:r>
        <w:t xml:space="preserve">Fatal if swallowed</w:t>
      </w:r>
    </w:p>
    <w:p>
      <w:pPr>
        <w:numPr>
          <w:ilvl w:val="0"/>
          <w:numId w:val="100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4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04"/>
        </w:numPr>
      </w:pPr>
      <w:r>
        <w:t xml:space="preserve">H341</w:t>
      </w:r>
      <w:r>
        <w:t xml:space="preserve"> </w:t>
      </w:r>
      <w:r>
        <w:t xml:space="preserve">Susceptible d’induire des anomalies génétiques.</w:t>
      </w:r>
    </w:p>
    <w:p>
      <w:pPr>
        <w:numPr>
          <w:ilvl w:val="0"/>
          <w:numId w:val="1004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5"/>
        </w:numPr>
      </w:pPr>
      <w:r>
        <w:t xml:space="preserve">P311</w:t>
      </w:r>
      <w:r>
        <w:t xml:space="preserve"> </w:t>
      </w:r>
      <w:r>
        <w:t xml:space="preserve">EN CAS d’exposition ou de malaise: appeler un CENTRE ANTIPOISON ou un médecin.</w:t>
      </w:r>
    </w:p>
    <w:p>
      <w:pPr>
        <w:numPr>
          <w:ilvl w:val="0"/>
          <w:numId w:val="1005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 6.1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Classe 6.1</w:t>
      </w:r>
    </w:p>
    <w:p>
      <w:pPr>
        <w:pStyle w:val="Compact"/>
        <w:numPr>
          <w:ilvl w:val="0"/>
          <w:numId w:val="1006"/>
        </w:numPr>
      </w:pPr>
      <w:r>
        <w:t xml:space="preserve">IATA : Classe 6.1</w:t>
      </w:r>
    </w:p>
    <w:p>
      <w:pPr>
        <w:pStyle w:val="Compact"/>
        <w:numPr>
          <w:ilvl w:val="0"/>
          <w:numId w:val="1006"/>
        </w:numPr>
      </w:pPr>
      <w:r>
        <w:t xml:space="preserve">UN : 2811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l’eau. Consulter un médecin.</w:t>
      </w:r>
    </w:p>
    <w:p>
      <w:pPr>
        <w:pStyle w:val="BodyText"/>
      </w:pPr>
      <w:r>
        <w:t xml:space="preserve">eyes : Rincer abondamment à l’eau pendant au moins 15 minutes en écartant les paupières. Consulter un médecin.</w:t>
      </w:r>
    </w:p>
    <w:p>
      <w:pPr>
        <w:pStyle w:val="BodyText"/>
      </w:pPr>
      <w:r>
        <w:t xml:space="preserve">ingestion : Consulter immédiatement un médecin. Ne pas faire vomir sans avis médical. Ne jamais faire ingérer quoi que ce soit à une personne inconsciente.</w:t>
      </w:r>
    </w:p>
    <w:p>
      <w:pPr>
        <w:pStyle w:val="BodyText"/>
      </w:pPr>
      <w:r>
        <w:t xml:space="preserve">inhalation : Transporter la victime à l’air frais. Consulter immédiatement un médecin.</w:t>
      </w:r>
    </w:p>
    <w:p>
      <w:r>
        <w:br w:type="page"/>
      </w:r>
    </w:p>
    <w:bookmarkEnd w:id="40"/>
    <w:bookmarkStart w:id="4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streptomycin-sulfate"/>
    <w:p>
      <w:pPr>
        <w:pStyle w:val="Heading3"/>
      </w:pPr>
      <w:r>
        <w:t xml:space="preserve">Streptomycin sulfate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3810-74-0</w:t>
      </w:r>
    </w:p>
    <w:p>
      <w:pPr>
        <w:pStyle w:val="Compact"/>
        <w:numPr>
          <w:ilvl w:val="0"/>
          <w:numId w:val="1007"/>
        </w:numPr>
      </w:pPr>
      <w:r>
        <w:t xml:space="preserve">N° EINECS : 223-286-0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83.0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8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cycloheximide"/>
    <w:p>
      <w:pPr>
        <w:pStyle w:val="Heading3"/>
      </w:pPr>
      <w:r>
        <w:t xml:space="preserve">Cycloheximide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66-81-9</w:t>
      </w:r>
    </w:p>
    <w:p>
      <w:pPr>
        <w:pStyle w:val="Compact"/>
        <w:numPr>
          <w:ilvl w:val="0"/>
          <w:numId w:val="1009"/>
        </w:numPr>
      </w:pPr>
      <w:r>
        <w:t xml:space="preserve">N° EINECS : 200-636-0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8.0 to 35.0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10"/>
        </w:numPr>
      </w:pPr>
      <w:r>
        <w:t xml:space="preserve">H341</w:t>
      </w:r>
      <w:r>
        <w:t xml:space="preserve"> </w:t>
      </w:r>
      <w:r>
        <w:t xml:space="preserve">Susceptible d’induire des anomalies génétiques.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0"/>
        </w:numPr>
      </w:pPr>
      <w:r>
        <w:t xml:space="preserve">H360D***</w:t>
      </w:r>
      <w:r>
        <w:t xml:space="preserve"> </w:t>
      </w:r>
      <w:r>
        <w:t xml:space="preserve">Peut nuire à la fertilité ou au fœtus.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thalliumi-acetate"/>
    <w:p>
      <w:pPr>
        <w:pStyle w:val="Heading3"/>
      </w:pPr>
      <w:r>
        <w:t xml:space="preserve">Thallium(I) acetate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563-68-8</w:t>
      </w:r>
    </w:p>
    <w:p>
      <w:pPr>
        <w:pStyle w:val="Compact"/>
        <w:numPr>
          <w:ilvl w:val="0"/>
          <w:numId w:val="1011"/>
        </w:numPr>
      </w:pPr>
      <w:r>
        <w:t xml:space="preserve">N° EINECS : 209-257-5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8.0 to 35.0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12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12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12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2"/>
        </w:numPr>
      </w:pPr>
      <w:r>
        <w:t xml:space="preserve">H373**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End w:id="47"/>
    <w:bookmarkStart w:id="4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jetables (type : « jetables »)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 : non précisé dans le texte, mais il est indiqué de se référer aux exigences minimales de la norme 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non précisée.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 / perméabilité : non précisé, mais il est demandé de vérifier les instructions du fournisseur concernant la perméabilité et le temps de pénétration.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écrans latéraux ou lunettes étanches.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Norme européenne – EN 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jetables (type : « jetables »)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Matériau : non précisé dans le texte, mais il est indiqué de se référer aux exigences minimales de la norme 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non précisée.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 / perméabilité : non précisé, mais il est demandé de vérifier les instructions du fournisseur concernant la perméabilité et le temps de pénétration.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 cas de concentrations supérieures aux limites d’exposition, les travailleurs doivent utiliser des respirateurs homologués correspondants.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Pour la protection respiratoire à grande échelle / utilisation, porter un appareil respiratoire d’urgence.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À petite échelle / utilisation en laboratoire, utiliser un appareil respiratoire approuvé NIOSH / MSHA ou la norme européenne EN 149:2001.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Il est conseillé de réaliser un test d’adéquation du masque lorsqu’un appareil respiratoire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: bottes, tablier, gants imperméables.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Il est recommandé de porter des vêtements imperméables pour éviter la contamination cutanée.</w:t>
            </w:r>
          </w:p>
        </w:tc>
      </w:tr>
    </w:tbl>
    <w:bookmarkEnd w:id="48"/>
    <w:bookmarkStart w:id="4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tout contact avec la peau, les yeux et les vêtements. Ne pas respirer les poussières. Mettre en place une ventilation adaptée. Mesures d’hygiène : ne pas manger, ne pas boire et ne pas fumer pendant l’utilisation. Nettoyer régulièrement l’équipement, les locaux et les vêtements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à des températures comprises entre 2 °C et 8 °C. Éviter la formation de poussières et protéger le produit de l’humidité. Éviter les bases (matières incompatibles).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</w:tbl>
    <w:bookmarkEnd w:id="49"/>
    <w:bookmarkEnd w:id="5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2026-07-06T11:46:13Z</dcterms:created>
  <dcterms:modified xsi:type="dcterms:W3CDTF">2026-07-06T11:46:13Z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