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tdabiomerieux20120</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tdabiomerieux20120</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4" w:name="analyse-des-dangers-tdabiomerieux20120"/>
    <w:p>
      <w:pPr>
        <w:pStyle w:val="Heading1"/>
      </w:pPr>
      <w:r>
        <w:t xml:space="preserve">Analyse des dangers : tdabiomerieux20120</w:t>
      </w:r>
    </w:p>
    <w:p>
      <w:pPr>
        <w:pStyle w:val="FirstParagraph"/>
      </w:pPr>
      <w:r>
        <w:t xml:space="preserve">Dans la suite, nous détaillons les dangers associés au produit</w:t>
      </w:r>
      <w:r>
        <w:t xml:space="preserve"> </w:t>
      </w:r>
      <w:r>
        <w:rPr>
          <w:b/>
          <w:bCs/>
        </w:rPr>
        <w:t xml:space="preserve">tdabiomerieux20120</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Dispositif médical de diagnostic in vitro.</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2024-01-11</w:t>
            </w:r>
          </w:p>
        </w:tc>
      </w:tr>
    </w:tbl>
    <w:p>
      <w:pPr>
        <w:pStyle w:val="BodyText"/>
      </w:pPr>
      <w:r>
        <w:t xml:space="preserve"> </w:t>
      </w:r>
      <w:r>
        <w:t xml:space="preserve">La FDS date du 2024-01-11.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H302</w:t>
      </w:r>
      <w:r>
        <w:t xml:space="preserve"> </w:t>
      </w:r>
      <w:r>
        <w:t xml:space="preserve">Nocif en cas d’ingestion.</w:t>
      </w:r>
    </w:p>
    <w:p>
      <w:pPr>
        <w:numPr>
          <w:ilvl w:val="0"/>
          <w:numId w:val="1003"/>
        </w:numPr>
      </w:pPr>
      <w:r>
        <w:t xml:space="preserve">H314</w:t>
      </w:r>
      <w:r>
        <w:t xml:space="preserve"> </w:t>
      </w:r>
      <w:r>
        <w:t xml:space="preserve">Provoque des brûlures de la peau et des lésions oculaires graves.</w:t>
      </w:r>
    </w:p>
    <w:p>
      <w:pPr>
        <w:numPr>
          <w:ilvl w:val="0"/>
          <w:numId w:val="1003"/>
        </w:numPr>
      </w:pPr>
      <w:r>
        <w:t xml:space="preserve">H318</w:t>
      </w:r>
      <w:r>
        <w:t xml:space="preserve"> </w:t>
      </w:r>
      <w:r>
        <w:t xml:space="preserve">Provoque des lésions oculaires graves.</w:t>
      </w:r>
    </w:p>
    <w:p>
      <w:pPr>
        <w:numPr>
          <w:ilvl w:val="0"/>
          <w:numId w:val="1003"/>
        </w:numPr>
      </w:pPr>
      <w:r>
        <w:t xml:space="preserve">H412</w:t>
      </w:r>
      <w:r>
        <w:t xml:space="preserve"> </w:t>
      </w:r>
      <w:r>
        <w:t xml:space="preserve">Nocif pour les organismes aquatiques, entraîne des effets néfastes à long terme.</w:t>
      </w:r>
    </w:p>
    <w:p>
      <w:pPr>
        <w:pStyle w:val="FirstParagraph"/>
      </w:pPr>
      <w:r>
        <w:rPr>
          <w:b/>
          <w:bCs/>
        </w:rPr>
        <w:t xml:space="preserve">Conseils de prudence</w:t>
      </w:r>
      <w:r>
        <w:t xml:space="preserve"> </w:t>
      </w:r>
      <w:r>
        <w:t xml:space="preserve">:</w:t>
      </w:r>
    </w:p>
    <w:p>
      <w:pPr>
        <w:numPr>
          <w:ilvl w:val="0"/>
          <w:numId w:val="1004"/>
        </w:numPr>
      </w:pPr>
      <w:r>
        <w:t xml:space="preserve">P264</w:t>
      </w:r>
      <w:r>
        <w:t xml:space="preserve"> </w:t>
      </w:r>
      <w:r>
        <w:t xml:space="preserve">Se laver … soigneusement après manipulation.</w:t>
      </w:r>
    </w:p>
    <w:p>
      <w:pPr>
        <w:numPr>
          <w:ilvl w:val="0"/>
          <w:numId w:val="1004"/>
        </w:numPr>
      </w:pPr>
      <w:r>
        <w:t xml:space="preserve">P273</w:t>
      </w:r>
      <w:r>
        <w:t xml:space="preserve"> </w:t>
      </w:r>
      <w:r>
        <w:t xml:space="preserve">Éviter le rejet dans l’environnement.</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P302+P352</w:t>
      </w:r>
      <w:r>
        <w:t xml:space="preserve"> </w:t>
      </w:r>
      <w:r>
        <w:t xml:space="preserve">EN CAS DE CONTACT AVEC LA PEAU:</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pStyle w:val="FirstParagraph"/>
      </w:pPr>
      <w:r>
        <w:rPr>
          <w:b/>
          <w:bCs/>
        </w:rPr>
        <w:t xml:space="preserve">Transport</w:t>
      </w:r>
      <w:r>
        <w:t xml:space="preserve"> </w:t>
      </w:r>
      <w:r>
        <w:t xml:space="preserve">:</w:t>
      </w:r>
    </w:p>
    <w:p>
      <w:pPr>
        <w:pStyle w:val="Compact"/>
        <w:numPr>
          <w:ilvl w:val="0"/>
          <w:numId w:val="1005"/>
        </w:numPr>
      </w:pPr>
      <w:r>
        <w:t xml:space="preserve">ADR : 8</w:t>
      </w:r>
    </w:p>
    <w:p>
      <w:pPr>
        <w:pStyle w:val="Compact"/>
        <w:numPr>
          <w:ilvl w:val="0"/>
          <w:numId w:val="1005"/>
        </w:numPr>
      </w:pPr>
      <w:r>
        <w:t xml:space="preserve">RID : -</w:t>
      </w:r>
    </w:p>
    <w:p>
      <w:pPr>
        <w:pStyle w:val="Compact"/>
        <w:numPr>
          <w:ilvl w:val="0"/>
          <w:numId w:val="1005"/>
        </w:numPr>
      </w:pPr>
      <w:r>
        <w:t xml:space="preserve">ADN : -</w:t>
      </w:r>
    </w:p>
    <w:p>
      <w:pPr>
        <w:pStyle w:val="Compact"/>
        <w:numPr>
          <w:ilvl w:val="0"/>
          <w:numId w:val="1005"/>
        </w:numPr>
      </w:pPr>
      <w:r>
        <w:t xml:space="preserve">IMDG : 8</w:t>
      </w:r>
    </w:p>
    <w:p>
      <w:pPr>
        <w:pStyle w:val="Compact"/>
        <w:numPr>
          <w:ilvl w:val="0"/>
          <w:numId w:val="1005"/>
        </w:numPr>
      </w:pPr>
      <w:r>
        <w:t xml:space="preserve">IATA : 8</w:t>
      </w:r>
    </w:p>
    <w:p>
      <w:pPr>
        <w:pStyle w:val="Compact"/>
        <w:numPr>
          <w:ilvl w:val="0"/>
          <w:numId w:val="1005"/>
        </w:numPr>
      </w:pPr>
      <w:r>
        <w:t xml:space="preserve">UN : UN2582</w:t>
      </w:r>
    </w:p>
    <w:bookmarkEnd w:id="36"/>
    <w:bookmarkStart w:id="37" w:name="Xda6f178de632779b007ca26fa4959a763d2c7f4"/>
    <w:p>
      <w:pPr>
        <w:pStyle w:val="Heading2"/>
      </w:pPr>
      <w:r>
        <w:t xml:space="preserve">Dangers et/ou mesures par voie d’exposition</w:t>
      </w:r>
    </w:p>
    <w:p>
      <w:pPr>
        <w:pStyle w:val="FirstParagraph"/>
      </w:pPr>
      <w:r>
        <w:t xml:space="preserve">skin : • Laver abondamment la zone touchée avec de l’eau et du savon.</w:t>
      </w:r>
      <w:r>
        <w:t xml:space="preserve"> </w:t>
      </w:r>
      <w:r>
        <w:t xml:space="preserve">• En cas de contact cutané mineur, éviter d’étaler la substance sur la peau non contaminée.</w:t>
      </w:r>
      <w:r>
        <w:t xml:space="preserve"> </w:t>
      </w:r>
      <w:r>
        <w:t xml:space="preserve">• Consulter un médecin si une irritation se développe et persiste.</w:t>
      </w:r>
    </w:p>
    <w:p>
      <w:pPr>
        <w:pStyle w:val="BodyText"/>
      </w:pPr>
      <w:r>
        <w:t xml:space="preserve">eyes : • Rincer immédiatement les yeux à grande eau pendant au moins 15 minutes.</w:t>
      </w:r>
      <w:r>
        <w:t xml:space="preserve"> </w:t>
      </w:r>
      <w:r>
        <w:t xml:space="preserve">• Les personnes portant des lentilles de contact doivent les enlever autant que possible.</w:t>
      </w:r>
      <w:r>
        <w:t xml:space="preserve"> </w:t>
      </w:r>
      <w:r>
        <w:t xml:space="preserve">• Continuer à rincer continuellement.</w:t>
      </w:r>
      <w:r>
        <w:t xml:space="preserve"> </w:t>
      </w:r>
      <w:r>
        <w:t xml:space="preserve">• Contacter immédiatement un médecin ou un centre antipoison.</w:t>
      </w:r>
    </w:p>
    <w:p>
      <w:pPr>
        <w:pStyle w:val="BodyText"/>
      </w:pPr>
      <w:r>
        <w:t xml:space="preserve">ingestion : • Contacter immédiatement un médecin ou un centre antipoison.</w:t>
      </w:r>
      <w:r>
        <w:t xml:space="preserve"> </w:t>
      </w:r>
      <w:r>
        <w:t xml:space="preserve">• Rincer la bouche.</w:t>
      </w:r>
      <w:r>
        <w:t xml:space="preserve"> </w:t>
      </w:r>
      <w:r>
        <w:t xml:space="preserve">• NE PAS faire vomir.</w:t>
      </w:r>
      <w:r>
        <w:t xml:space="preserve"> </w:t>
      </w:r>
      <w:r>
        <w:t xml:space="preserve">• En cas de vomissement, garder la tête basse pour éviter une pénétration du contenu de l’estomac dans les poumons.</w:t>
      </w:r>
    </w:p>
    <w:p>
      <w:pPr>
        <w:pStyle w:val="BodyText"/>
      </w:pPr>
      <w:r>
        <w:t xml:space="preserve">inhalation : • Sortir immédiatement à l’air libre.</w:t>
      </w:r>
      <w:r>
        <w:t xml:space="preserve"> </w:t>
      </w:r>
      <w:r>
        <w:t xml:space="preserve">• Ne pas utiliser le bouche‑à‑bouche si la victime a inhalé la substance.</w:t>
      </w:r>
      <w:r>
        <w:t xml:space="preserve"> </w:t>
      </w:r>
      <w:r>
        <w:t xml:space="preserve">• Contacter un médecin si les symptômes se développent ou persistent.</w:t>
      </w:r>
    </w:p>
    <w:p>
      <w:r>
        <w:br w:type="page"/>
      </w:r>
    </w:p>
    <w:bookmarkEnd w:id="37"/>
    <w:bookmarkStart w:id="51" w:name="Xd3fd47f9279b52cc9d4b00e07bdfde0bea6594f"/>
    <w:p>
      <w:pPr>
        <w:pStyle w:val="Heading2"/>
      </w:pPr>
      <w:r>
        <w:t xml:space="preserve">Informations relatives aux substances dangereuses présentes</w:t>
      </w:r>
    </w:p>
    <w:bookmarkStart w:id="39" w:name="tda"/>
    <w:p>
      <w:pPr>
        <w:pStyle w:val="Heading3"/>
      </w:pPr>
      <w:r>
        <w:t xml:space="preserve">TDA</w:t>
      </w:r>
    </w:p>
    <w:p>
      <w:pPr>
        <w:pStyle w:val="FirstParagraph"/>
      </w:pPr>
      <w:r>
        <w:rPr>
          <w:b/>
          <w:bCs/>
        </w:rPr>
        <w:t xml:space="preserve">Identification</w:t>
      </w:r>
    </w:p>
    <w:p>
      <w:pPr>
        <w:pStyle w:val="Compact"/>
        <w:numPr>
          <w:ilvl w:val="0"/>
          <w:numId w:val="1006"/>
        </w:numPr>
      </w:pPr>
      <w:r>
        <w:t xml:space="preserve">N° CAS : None</w:t>
      </w:r>
    </w:p>
    <w:p>
      <w:pPr>
        <w:pStyle w:val="Compact"/>
        <w:numPr>
          <w:ilvl w:val="0"/>
          <w:numId w:val="1006"/>
        </w:numPr>
      </w:pPr>
      <w:r>
        <w:t xml:space="preserve">N° EINECS : None</w:t>
      </w:r>
    </w:p>
    <w:p>
      <w:pPr>
        <w:pStyle w:val="FirstParagraph"/>
      </w:pPr>
      <w:r>
        <w:rPr>
          <w:b/>
          <w:bCs/>
        </w:rPr>
        <w:t xml:space="preserve">Concentration</w:t>
      </w:r>
      <w:r>
        <w:t xml:space="preserve"> </w:t>
      </w:r>
      <w:r>
        <w:t xml:space="preserve">:Unbounded range</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H314</w:t>
      </w:r>
      <w:r>
        <w:t xml:space="preserve"> </w:t>
      </w:r>
      <w:r>
        <w:t xml:space="preserve">Provoque des brûlures de la peau et des lésions oculaires graves.</w:t>
      </w:r>
    </w:p>
    <w:p>
      <w:pPr>
        <w:numPr>
          <w:ilvl w:val="0"/>
          <w:numId w:val="1007"/>
        </w:numPr>
      </w:pPr>
      <w:r>
        <w:t xml:space="preserve">H318</w:t>
      </w:r>
      <w:r>
        <w:t xml:space="preserve"> </w:t>
      </w:r>
      <w:r>
        <w:t xml:space="preserve">Provoque des lésions oculaires graves.</w:t>
      </w:r>
    </w:p>
    <w:p>
      <w:pPr>
        <w:numPr>
          <w:ilvl w:val="0"/>
          <w:numId w:val="1007"/>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8" w:name="propriétés"/>
    <w:p>
      <w:pPr>
        <w:pStyle w:val="Heading4"/>
      </w:pPr>
      <w:r>
        <w:t xml:space="preserve">Propriétés</w:t>
      </w:r>
    </w:p>
    <w:p>
      <w:pPr>
        <w:pStyle w:val="FirstParagraph"/>
      </w:pPr>
      <w:r>
        <w:t xml:space="preserve">Pas d’informations disponible.</w:t>
      </w:r>
    </w:p>
    <w:bookmarkEnd w:id="38"/>
    <w:bookmarkEnd w:id="39"/>
    <w:bookmarkStart w:id="50" w:name="fer-iii-chlorure"/>
    <w:p>
      <w:pPr>
        <w:pStyle w:val="Heading3"/>
      </w:pPr>
      <w:r>
        <w:t xml:space="preserve">FER (III) chlorure</w:t>
      </w:r>
    </w:p>
    <w:p>
      <w:pPr>
        <w:pStyle w:val="FirstParagraph"/>
      </w:pPr>
      <w:r>
        <w:rPr>
          <w:b/>
          <w:bCs/>
        </w:rPr>
        <w:t xml:space="preserve">Identification</w:t>
      </w:r>
    </w:p>
    <w:p>
      <w:pPr>
        <w:pStyle w:val="Compact"/>
        <w:numPr>
          <w:ilvl w:val="0"/>
          <w:numId w:val="1008"/>
        </w:numPr>
      </w:pPr>
      <w:r>
        <w:t xml:space="preserve">N° CAS : 7705-08-0</w:t>
      </w:r>
    </w:p>
    <w:p>
      <w:pPr>
        <w:pStyle w:val="Compact"/>
        <w:numPr>
          <w:ilvl w:val="0"/>
          <w:numId w:val="1008"/>
        </w:numPr>
      </w:pPr>
      <w:r>
        <w:t xml:space="preserve">N° EINECS : 231-729-4</w:t>
      </w:r>
    </w:p>
    <w:p>
      <w:pPr>
        <w:pStyle w:val="FirstParagraph"/>
      </w:pPr>
      <w:r>
        <w:rPr>
          <w:b/>
          <w:bCs/>
        </w:rPr>
        <w:t xml:space="preserve">Concentration</w:t>
      </w:r>
      <w:r>
        <w:t xml:space="preserve"> </w:t>
      </w:r>
      <w:r>
        <w:t xml:space="preserve">:from 10.0 to 20.0</w:t>
      </w:r>
    </w:p>
    <w:p>
      <w:pPr>
        <w:pStyle w:val="BodyText"/>
      </w:pPr>
      <w:r>
        <w:rPr>
          <w:b/>
          <w:bCs/>
        </w:rPr>
        <w:t xml:space="preserve">Dangers</w:t>
      </w:r>
      <w:r>
        <w:t xml:space="preserve"> </w:t>
      </w:r>
      <w:r>
        <w:t xml:space="preserve">:</w:t>
      </w:r>
    </w:p>
    <w:p>
      <w:pPr>
        <w:numPr>
          <w:ilvl w:val="0"/>
          <w:numId w:val="1009"/>
        </w:numPr>
      </w:pPr>
      <w:r>
        <w:t xml:space="preserve">H300</w:t>
      </w:r>
      <w:r>
        <w:t xml:space="preserve"> </w:t>
      </w:r>
      <w:r>
        <w:t xml:space="preserve">Fatal if swallowed</w:t>
      </w:r>
    </w:p>
    <w:p>
      <w:pPr>
        <w:numPr>
          <w:ilvl w:val="0"/>
          <w:numId w:val="1009"/>
        </w:numPr>
      </w:pPr>
      <w:r>
        <w:t xml:space="preserve">H314</w:t>
      </w:r>
      <w:r>
        <w:t xml:space="preserve"> </w:t>
      </w:r>
      <w:r>
        <w:t xml:space="preserve">Provoque des brûlures de la peau et des lésions oculaires graves.</w:t>
      </w:r>
    </w:p>
    <w:p>
      <w:pPr>
        <w:numPr>
          <w:ilvl w:val="0"/>
          <w:numId w:val="1009"/>
        </w:numPr>
      </w:pPr>
      <w:r>
        <w:t xml:space="preserve">H318</w:t>
      </w:r>
      <w:r>
        <w:t xml:space="preserve"> </w:t>
      </w:r>
      <w:r>
        <w:t xml:space="preserve">Provoque des lésions oculaires graves.</w:t>
      </w:r>
    </w:p>
    <w:p>
      <w:pPr>
        <w:numPr>
          <w:ilvl w:val="0"/>
          <w:numId w:val="1009"/>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hyperlink r:id="rId40">
        <w:r>
          <w:rPr>
            <w:rStyle w:val="Hyperlink"/>
            <w:color w:val="0856A0"/>
            <w:u w:val="single"/>
          </w:rPr>
          <w:t xml:space="preserve">FICHEFévrier 2021Fiche n°154 - Trichlorure de ferFiche présentant l’essentiel des données d’hygiène et de sécurité relatives à« Trichlorure de fer »avec un rappel de la réglementation française et des recommandations techniques et médicales.En savoir plus</w:t>
        </w:r>
      </w:hyperlink>
    </w:p>
    <w:p>
      <w:pPr>
        <w:numPr>
          <w:ilvl w:val="0"/>
          <w:numId w:val="1010"/>
        </w:numPr>
      </w:pPr>
      <w:hyperlink r:id="rId41">
        <w:r>
          <w:rPr>
            <w:rStyle w:val="Hyperlink"/>
            <w:color w:val="0856A0"/>
            <w:u w:val="single"/>
          </w:rPr>
          <w:t xml:space="preserve">Généralités</w:t>
        </w:r>
      </w:hyperlink>
    </w:p>
    <w:p>
      <w:pPr>
        <w:numPr>
          <w:ilvl w:val="0"/>
          <w:numId w:val="1010"/>
        </w:numPr>
      </w:pPr>
      <w:hyperlink r:id="rId42">
        <w:r>
          <w:rPr>
            <w:rStyle w:val="Hyperlink"/>
            <w:color w:val="0856A0"/>
            <w:u w:val="single"/>
          </w:rPr>
          <w:t xml:space="preserve">Caractéristiques</w:t>
        </w:r>
      </w:hyperlink>
    </w:p>
    <w:p>
      <w:pPr>
        <w:numPr>
          <w:ilvl w:val="0"/>
          <w:numId w:val="1010"/>
        </w:numPr>
      </w:pPr>
      <w:hyperlink r:id="rId43">
        <w:r>
          <w:rPr>
            <w:rStyle w:val="Hyperlink"/>
            <w:color w:val="0856A0"/>
            <w:u w:val="single"/>
          </w:rPr>
          <w:t xml:space="preserve">VLEPMesurage</w:t>
        </w:r>
      </w:hyperlink>
    </w:p>
    <w:p>
      <w:pPr>
        <w:numPr>
          <w:ilvl w:val="0"/>
          <w:numId w:val="1010"/>
        </w:numPr>
      </w:pPr>
      <w:hyperlink r:id="rId44">
        <w:r>
          <w:rPr>
            <w:rStyle w:val="Hyperlink"/>
            <w:color w:val="0856A0"/>
            <w:u w:val="single"/>
          </w:rPr>
          <w:t xml:space="preserve">Incendie - Explosion</w:t>
        </w:r>
      </w:hyperlink>
    </w:p>
    <w:p>
      <w:pPr>
        <w:numPr>
          <w:ilvl w:val="0"/>
          <w:numId w:val="1010"/>
        </w:numPr>
      </w:pPr>
      <w:hyperlink r:id="rId45">
        <w:r>
          <w:rPr>
            <w:rStyle w:val="Hyperlink"/>
            <w:color w:val="0856A0"/>
            <w:u w:val="single"/>
          </w:rPr>
          <w:t xml:space="preserve">Pathologie - Toxicologie</w:t>
        </w:r>
      </w:hyperlink>
    </w:p>
    <w:p>
      <w:pPr>
        <w:numPr>
          <w:ilvl w:val="0"/>
          <w:numId w:val="1010"/>
        </w:numPr>
      </w:pPr>
      <w:hyperlink r:id="rId46">
        <w:r>
          <w:rPr>
            <w:rStyle w:val="Hyperlink"/>
            <w:color w:val="0856A0"/>
            <w:u w:val="single"/>
          </w:rPr>
          <w:t xml:space="preserve">Règlementation</w:t>
        </w:r>
      </w:hyperlink>
    </w:p>
    <w:p>
      <w:pPr>
        <w:numPr>
          <w:ilvl w:val="0"/>
          <w:numId w:val="1010"/>
        </w:numPr>
      </w:pPr>
      <w:hyperlink r:id="rId47">
        <w:r>
          <w:rPr>
            <w:rStyle w:val="Hyperlink"/>
            <w:color w:val="0856A0"/>
            <w:u w:val="single"/>
          </w:rPr>
          <w:t xml:space="preserve">Recommandations</w:t>
        </w:r>
      </w:hyperlink>
    </w:p>
    <w:p>
      <w:pPr>
        <w:numPr>
          <w:ilvl w:val="0"/>
          <w:numId w:val="1010"/>
        </w:numPr>
      </w:pPr>
      <w:hyperlink r:id="rId48">
        <w:r>
          <w:rPr>
            <w:rStyle w:val="Hyperlink"/>
            <w:color w:val="0856A0"/>
            <w:u w:val="single"/>
          </w:rPr>
          <w:t xml:space="preserve">Bibliographie</w:t>
        </w:r>
      </w:hyperlink>
    </w:p>
    <w:bookmarkEnd w:id="49"/>
    <w:bookmarkEnd w:id="50"/>
    <w:bookmarkEnd w:id="51"/>
    <w:bookmarkStart w:id="5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w:t>
            </w:r>
            <w:r>
              <w:rPr>
                <w:sz w:val="20"/>
                <w:szCs w:val="20"/>
              </w:rPr>
              <w:t xml:space="preserve"> </w:t>
            </w:r>
            <w:r>
              <w:rPr>
                <w:sz w:val="20"/>
                <w:szCs w:val="20"/>
              </w:rPr>
              <w:t xml:space="preserve">Matériau : nitrile</w:t>
            </w:r>
            <w:r>
              <w:rPr>
                <w:sz w:val="20"/>
                <w:szCs w:val="20"/>
              </w:rPr>
              <w:t xml:space="preserve"> </w:t>
            </w:r>
            <w:r>
              <w:rPr>
                <w:sz w:val="20"/>
                <w:szCs w:val="20"/>
              </w:rPr>
              <w:t xml:space="preserve">Aucun détail supplémentaire (épaisseur, temps de perçage, etc.) n’est fourni dans le texte.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w:t>
            </w:r>
            <w:r>
              <w:rPr>
                <w:sz w:val="20"/>
                <w:szCs w:val="20"/>
              </w:rPr>
              <w:t xml:space="preserve"> </w:t>
            </w:r>
            <w:r>
              <w:rPr>
                <w:sz w:val="20"/>
                <w:szCs w:val="20"/>
              </w:rPr>
              <w:t xml:space="preserve">Lunettes de sécurité à écrans latéraux</w:t>
            </w:r>
            <w:r>
              <w:rPr>
                <w:sz w:val="20"/>
                <w:szCs w:val="20"/>
              </w:rPr>
              <w:t xml:space="preserve"> </w:t>
            </w:r>
            <w:r>
              <w:rPr>
                <w:sz w:val="20"/>
                <w:szCs w:val="20"/>
              </w:rPr>
              <w:t xml:space="preserve">Le document précise uniquement la présence d’écrans latéraux. Aucun détail sur le type de verre, la protection UV, la résistance aux chocs, etc.</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w:t>
            </w:r>
            <w:r>
              <w:rPr>
                <w:sz w:val="20"/>
                <w:szCs w:val="20"/>
              </w:rPr>
              <w:t xml:space="preserve"> </w:t>
            </w:r>
            <w:r>
              <w:rPr>
                <w:sz w:val="20"/>
                <w:szCs w:val="20"/>
              </w:rPr>
              <w:t xml:space="preserve">Matériau : nitrile</w:t>
            </w:r>
            <w:r>
              <w:rPr>
                <w:sz w:val="20"/>
                <w:szCs w:val="20"/>
              </w:rPr>
              <w:t xml:space="preserve"> </w:t>
            </w:r>
            <w:r>
              <w:rPr>
                <w:sz w:val="20"/>
                <w:szCs w:val="20"/>
              </w:rPr>
              <w:t xml:space="preserve">Aucun détail supplémentaire (épaisseur, temps de perçage, etc.) n’est fourni dans le texte. Lunettes / écrans faciaux</w:t>
            </w:r>
            <w:r>
              <w:rPr>
                <w:sz w:val="20"/>
                <w:szCs w:val="20"/>
              </w:rPr>
              <w:t xml:space="preserve"> </w:t>
            </w:r>
            <w:r>
              <w:rPr>
                <w:sz w:val="20"/>
                <w:szCs w:val="20"/>
              </w:rPr>
              <w:t xml:space="preserve">Lunettes de sécurité à écrans latéraux</w:t>
            </w:r>
            <w:r>
              <w:rPr>
                <w:sz w:val="20"/>
                <w:szCs w:val="20"/>
              </w:rPr>
              <w:t xml:space="preserve"> </w:t>
            </w:r>
            <w:r>
              <w:rPr>
                <w:sz w:val="20"/>
                <w:szCs w:val="20"/>
              </w:rPr>
              <w:t xml:space="preserve">Le document précise uniquement la présence d’écrans latéraux. Aucun détail sur le type de verre, la protection UV, la résistance aux chocs, etc. Vêtements de protection / combinaisons</w:t>
            </w:r>
            <w:r>
              <w:rPr>
                <w:sz w:val="20"/>
                <w:szCs w:val="20"/>
              </w:rPr>
              <w:t xml:space="preserve"> </w:t>
            </w:r>
            <w:r>
              <w:rPr>
                <w:sz w:val="20"/>
                <w:szCs w:val="20"/>
              </w:rPr>
              <w:t xml:space="preserve">Vêtements appropriés résistant aux produits chimiques</w:t>
            </w:r>
            <w:r>
              <w:rPr>
                <w:sz w:val="20"/>
                <w:szCs w:val="20"/>
              </w:rPr>
              <w:t xml:space="preserve"> </w:t>
            </w:r>
            <w:r>
              <w:rPr>
                <w:sz w:val="20"/>
                <w:szCs w:val="20"/>
              </w:rPr>
              <w:t xml:space="preserve">Le texte indique simplement que les vêtements doivent être « appropriés » et « résistants aux produits chimiques ». Aucun détail sur le matériau, la coupe, la protection contre les éclaboussures, etc.</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w:t>
            </w:r>
            <w:r>
              <w:rPr>
                <w:sz w:val="20"/>
                <w:szCs w:val="20"/>
              </w:rPr>
              <w:t xml:space="preserve"> </w:t>
            </w:r>
            <w:r>
              <w:rPr>
                <w:sz w:val="20"/>
                <w:szCs w:val="20"/>
              </w:rPr>
              <w:t xml:space="preserve">Aucun équipement respiratoire individuel n’est normalement nécessaire</w:t>
            </w:r>
            <w:r>
              <w:rPr>
                <w:sz w:val="20"/>
                <w:szCs w:val="20"/>
              </w:rPr>
              <w:t xml:space="preserve"> </w:t>
            </w:r>
            <w:r>
              <w:rPr>
                <w:sz w:val="20"/>
                <w:szCs w:val="20"/>
              </w:rPr>
              <w:t xml:space="preserve">Le document ne recommande pas de masque ou de filtre respiratoire pour la manipulation de ce produit.</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w:t>
            </w:r>
            <w:r>
              <w:rPr>
                <w:sz w:val="20"/>
                <w:szCs w:val="20"/>
              </w:rPr>
              <w:t xml:space="preserve"> </w:t>
            </w:r>
            <w:r>
              <w:rPr>
                <w:sz w:val="20"/>
                <w:szCs w:val="20"/>
              </w:rPr>
              <w:t xml:space="preserve">Vêtements appropriés résistant aux produits chimiques</w:t>
            </w:r>
            <w:r>
              <w:rPr>
                <w:sz w:val="20"/>
                <w:szCs w:val="20"/>
              </w:rPr>
              <w:t xml:space="preserve"> </w:t>
            </w:r>
            <w:r>
              <w:rPr>
                <w:sz w:val="20"/>
                <w:szCs w:val="20"/>
              </w:rPr>
              <w:t xml:space="preserve">Le texte indique simplement que les vêtements doivent être « appropriés » et « résistants aux produits chimiques ». Aucun détail sur le matériau, la coupe, la protection contre les éclaboussures, etc.</w:t>
            </w:r>
          </w:p>
        </w:tc>
      </w:tr>
    </w:tbl>
    <w:bookmarkEnd w:id="52"/>
    <w:bookmarkStart w:id="5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Éviter toute exposition prolongée. - Lors de l’utilisation, ne pas manger, boire ou fumer. - Assurer une ventilation efficace. - Porter un équipement de protection approprié. - Se laver les mains soigneusement après manipulation. - Éviter le rejet dans l’environnement. - Suivre les règles de bonnes pratiques chimiques.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Stocker dans un récipient fermé de manière étanche ; conserver à l’écart des matières incompatibles (voir la Section 10 de la FDS). Les incompatibilités mentionnées sont: agents oxydants forts.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Dispositif médical de diagnostic in vitro.</w:t>
            </w:r>
          </w:p>
        </w:tc>
      </w:tr>
    </w:tbl>
    <w:bookmarkEnd w:id="53"/>
    <w:bookmarkEnd w:id="5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40" Type="http://schemas.openxmlformats.org/officeDocument/2006/relationships/hyperlink" Target="https://www.inrs.fr/accueil/publications/bdd/fichetox/fiche.html?refINRS=FICHETOX_154" TargetMode="External"/><Relationship Id="rId43" Type="http://schemas.openxmlformats.org/officeDocument/2006/relationships/hyperlink" Target="https://www.inrs.fr/accueil/publications/bdd/fichetox/fiche.html?refINRS=FICHETOX_154&amp;section=VLEPMesurage" TargetMode="External"/><Relationship Id="rId48" Type="http://schemas.openxmlformats.org/officeDocument/2006/relationships/hyperlink" Target="https://www.inrs.fr/accueil/publications/bdd/fichetox/fiche.html?refINRS=FICHETOX_154&amp;section=bibliographieAuteurs" TargetMode="External"/><Relationship Id="rId42" Type="http://schemas.openxmlformats.org/officeDocument/2006/relationships/hyperlink" Target="https://www.inrs.fr/accueil/publications/bdd/fichetox/fiche.html?refINRS=FICHETOX_154&amp;section=caracteristiques" TargetMode="External"/><Relationship Id="rId41" Type="http://schemas.openxmlformats.org/officeDocument/2006/relationships/hyperlink" Target="https://www.inrs.fr/accueil/publications/bdd/fichetox/fiche.html?refINRS=FICHETOX_154&amp;section=generalites" TargetMode="External"/><Relationship Id="rId44" Type="http://schemas.openxmlformats.org/officeDocument/2006/relationships/hyperlink" Target="https://www.inrs.fr/accueil/publications/bdd/fichetox/fiche.html?refINRS=FICHETOX_154&amp;section=incendieExplosion" TargetMode="External"/><Relationship Id="rId45" Type="http://schemas.openxmlformats.org/officeDocument/2006/relationships/hyperlink" Target="https://www.inrs.fr/accueil/publications/bdd/fichetox/fiche.html?refINRS=FICHETOX_154&amp;section=pathologieToxicologie" TargetMode="External"/><Relationship Id="rId47" Type="http://schemas.openxmlformats.org/officeDocument/2006/relationships/hyperlink" Target="https://www.inrs.fr/accueil/publications/bdd/fichetox/fiche.html?refINRS=FICHETOX_154&amp;section=recommandations" TargetMode="External"/><Relationship Id="rId46" Type="http://schemas.openxmlformats.org/officeDocument/2006/relationships/hyperlink" Target="https://www.inrs.fr/accueil/publications/bdd/fichetox/fiche.html?refINRS=FICHETOX_154&amp;section=reglementation" TargetMode="External"/></Relationships>
</file>

<file path=word/_rels/footnotes.xml.rels><?xml version='1.0' encoding='UTF-8' standalone='yes'?>
<Relationships xmlns="http://schemas.openxmlformats.org/package/2006/relationships"><Relationship Id="rId40" Type="http://schemas.openxmlformats.org/officeDocument/2006/relationships/hyperlink" Target="https://www.inrs.fr/accueil/publications/bdd/fichetox/fiche.html?refINRS=FICHETOX_154" TargetMode="External"/><Relationship Id="rId43" Type="http://schemas.openxmlformats.org/officeDocument/2006/relationships/hyperlink" Target="https://www.inrs.fr/accueil/publications/bdd/fichetox/fiche.html?refINRS=FICHETOX_154&amp;section=VLEPMesurage" TargetMode="External"/><Relationship Id="rId48" Type="http://schemas.openxmlformats.org/officeDocument/2006/relationships/hyperlink" Target="https://www.inrs.fr/accueil/publications/bdd/fichetox/fiche.html?refINRS=FICHETOX_154&amp;section=bibliographieAuteurs" TargetMode="External"/><Relationship Id="rId42" Type="http://schemas.openxmlformats.org/officeDocument/2006/relationships/hyperlink" Target="https://www.inrs.fr/accueil/publications/bdd/fichetox/fiche.html?refINRS=FICHETOX_154&amp;section=caracteristiques" TargetMode="External"/><Relationship Id="rId41" Type="http://schemas.openxmlformats.org/officeDocument/2006/relationships/hyperlink" Target="https://www.inrs.fr/accueil/publications/bdd/fichetox/fiche.html?refINRS=FICHETOX_154&amp;section=generalites" TargetMode="External"/><Relationship Id="rId44" Type="http://schemas.openxmlformats.org/officeDocument/2006/relationships/hyperlink" Target="https://www.inrs.fr/accueil/publications/bdd/fichetox/fiche.html?refINRS=FICHETOX_154&amp;section=incendieExplosion" TargetMode="External"/><Relationship Id="rId45" Type="http://schemas.openxmlformats.org/officeDocument/2006/relationships/hyperlink" Target="https://www.inrs.fr/accueil/publications/bdd/fichetox/fiche.html?refINRS=FICHETOX_154&amp;section=pathologieToxicologie" TargetMode="External"/><Relationship Id="rId47" Type="http://schemas.openxmlformats.org/officeDocument/2006/relationships/hyperlink" Target="https://www.inrs.fr/accueil/publications/bdd/fichetox/fiche.html?refINRS=FICHETOX_154&amp;section=recommandations" TargetMode="External"/><Relationship Id="rId46" Type="http://schemas.openxmlformats.org/officeDocument/2006/relationships/hyperlink" Target="https://www.inrs.fr/accueil/publications/bdd/fichetox/fiche.html?refINRS=FICHETOX_154&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2026-07-06T11:46:21Z</dcterms:created>
  <dcterms:modified xsi:type="dcterms:W3CDTF">2026-07-06T11:46:21Z</dcterms:modified>
</cp:coreProperties>
</file>

<file path=docProps/custom.xml><?xml version="1.0" encoding="utf-8"?>
<Properties xmlns="http://schemas.openxmlformats.org/officeDocument/2006/custom-properties" xmlns:vt="http://schemas.openxmlformats.org/officeDocument/2006/docPropsVTypes"/>
</file>