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trimethoprimhumeau228494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Life Science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trimethoprimhumeau228494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0" w:name="Xacedc82db8feb887076e05731ebbf61eb700180"/>
    <w:p>
      <w:pPr>
        <w:pStyle w:val="Heading1"/>
      </w:pPr>
      <w:r>
        <w:t xml:space="preserve">Analyse des dangers : trimethoprimhumeau228494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trimethoprimhumeau228494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Life Science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Substances chimiques de laboratoire, Fabrication de substances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2025-11-09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2025-11-09.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P202</w:t>
      </w:r>
      <w:r>
        <w:t xml:space="preserve"> </w:t>
      </w:r>
      <w:r>
        <w:t xml:space="preserve">Ne pas manipuler avant d’avoir lu et compris toutes les précautions de sécurité.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P301+P312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P308+P313</w:t>
      </w:r>
      <w:r>
        <w:t xml:space="preserve"> </w:t>
      </w:r>
      <w:r>
        <w:t xml:space="preserve">EN CAS d’exposition prouvée ou suspectée: consulter un médecin.</w:t>
      </w:r>
    </w:p>
    <w:p>
      <w:pPr>
        <w:numPr>
          <w:ilvl w:val="0"/>
          <w:numId w:val="1004"/>
        </w:numPr>
      </w:pPr>
      <w:r>
        <w:t xml:space="preserve">P405</w:t>
      </w:r>
      <w:r>
        <w:t xml:space="preserve"> </w:t>
      </w:r>
      <w:r>
        <w:t xml:space="preserve">Garder sous clef.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tous les vêtements contaminés. Rincer la peau abondamment à l’eau ou se doucher. Consulter un médecin.</w:t>
      </w:r>
    </w:p>
    <w:p>
      <w:pPr>
        <w:pStyle w:val="BodyText"/>
      </w:pPr>
      <w:r>
        <w:t xml:space="preserve">eyes : Rincer abondamment les yeux à l’eau. Consulter un ophtalmologiste. Enlever les lentilles de contact.</w:t>
      </w:r>
    </w:p>
    <w:p>
      <w:pPr>
        <w:pStyle w:val="BodyText"/>
      </w:pPr>
      <w:r>
        <w:t xml:space="preserve">ingestion : Faire boire immédiatement de l’eau (maximum 2 verres). Consulter un médecin.</w:t>
      </w:r>
    </w:p>
    <w:p>
      <w:pPr>
        <w:pStyle w:val="BodyText"/>
      </w:pPr>
      <w:r>
        <w:t xml:space="preserve">inhalation : Faire respirer de l’air frais. Consulter un médecin.</w:t>
      </w:r>
    </w:p>
    <w:p>
      <w:r>
        <w:br w:type="page"/>
      </w:r>
    </w:p>
    <w:bookmarkEnd w:id="34"/>
    <w:bookmarkStart w:id="3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diamino-5-345-trimethoxybenzylpyrimidine"/>
    <w:p>
      <w:pPr>
        <w:pStyle w:val="Heading3"/>
      </w:pPr>
      <w:r>
        <w:t xml:space="preserve">2,4-Diamino-5-(3,4,5-trimethoxybenzyl)pyrimidine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738-70-5</w:t>
      </w:r>
    </w:p>
    <w:p>
      <w:pPr>
        <w:pStyle w:val="Compact"/>
        <w:numPr>
          <w:ilvl w:val="0"/>
          <w:numId w:val="1006"/>
        </w:numPr>
      </w:pPr>
      <w:r>
        <w:t xml:space="preserve">N° EINECS : 212-006-2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90.0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End w:id="37"/>
    <w:bookmarkStart w:id="3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caoutchouc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0,11 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 : 480 min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Indice de protection 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Contact total (gants « Contact total »)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Contact par éclaboussures (gants « Contact par éclaboussures »)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Fabricant : KCL 741 Dermatril® 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Équipement : lunettes de sécurité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Normes : testées et approuvées selon les normes gouvernementales en vigueur (NIOSH US ou EN 166 EU)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caoutchouc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0,11 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 : 480 min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Indice de protection 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Contact total (gants « Contact total »)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Contact par éclaboussures (gants « Contact par éclaboussures »)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Fabricant : KCL 741 Dermatril® 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Type de filtre recommandé : filtre de type P3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Normes : DIN EN 143, DIN EN 14387 et autres normes afférentes au système de protection respiratoire utilisé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Protection de la peau : vêtements de protection du corps (spécifications exactes non détaillées dans le texte, mais indiquées comme requis)</w:t>
            </w:r>
          </w:p>
        </w:tc>
      </w:tr>
    </w:tbl>
    <w:bookmarkEnd w:id="38"/>
    <w:bookmarkStart w:id="3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Enlever tout vêtement souillé. - Porter une protection préventive de la peau (gants, vêtements de protection). - Se laver les mains après le travail. - Porter des gants de protection, des vêtements de protection, un équipement de protection des yeux et du visage. - Suivre les éléments d’étiquetage (P202, P264, P280) et les recommandations de la section 2.2.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 (section 7.2) - Bien fermé. - À l’abri de l’humidité. - Conserver sous clé supplémentaire sur ou dans une zone accessible uniquement aux personnes qualifiées ou autorisées. - Classe de stockage : 11, Solides combustibles (Allemagne) (TRGS 510). - Température de stockage : 2 – 8 °C (recommandée). - Conserver dans un endroit sec.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Substances chimiques de laboratoire, Fabrication de substances</w:t>
            </w:r>
          </w:p>
        </w:tc>
      </w:tr>
    </w:tbl>
    <w:bookmarkEnd w:id="39"/>
    <w:bookmarkEnd w:id="4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2026-07-06T11:46:28Z</dcterms:created>
  <dcterms:modified xsi:type="dcterms:W3CDTF">2026-07-06T11:46:28Z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