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vancomycinesupplementbiomerieux412498</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bioMérieux Benelux s.a.</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2026-07-06</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0.7.1</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vancomycinesupplementbiomerieux412498</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40" w:name="X55351f03d763cce1bee6663c02953d659e0212e"/>
    <w:p>
      <w:pPr>
        <w:pStyle w:val="Heading1"/>
      </w:pPr>
      <w:r>
        <w:t xml:space="preserve">Analyse des dangers : vancomycinesupplementbiomerieux412498</w:t>
      </w:r>
    </w:p>
    <w:p>
      <w:pPr>
        <w:pStyle w:val="FirstParagraph"/>
      </w:pPr>
      <w:r>
        <w:t xml:space="preserve">Dans la suite, nous détaillons les dangers associés au produit</w:t>
      </w:r>
      <w:r>
        <w:t xml:space="preserve"> </w:t>
      </w:r>
      <w:r>
        <w:rPr>
          <w:b/>
          <w:bCs/>
        </w:rPr>
        <w:t xml:space="preserve">vancomycinesupplementbiomerieux412498</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bioMérieux Benelux s.a.</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solide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poudre (poudre fine)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Non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Pour contrôle microbiologique exclusivement.</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2025-01-23</w:t>
            </w:r>
          </w:p>
        </w:tc>
      </w:tr>
    </w:tbl>
    <w:p>
      <w:pPr>
        <w:pStyle w:val="BodyText"/>
      </w:pPr>
      <w:r>
        <w:t xml:space="preserve"> </w:t>
      </w:r>
      <w:r>
        <w:t xml:space="preserve">La FDS date du 2025-01-23. Elle a donc 1 an(s).</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3"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Attention</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Nocif / Irritant" title="" id="31" name="Picture"/>
            <a:graphic>
              <a:graphicData uri="http://schemas.openxmlformats.org/drawingml/2006/picture">
                <pic:pic>
                  <pic:nvPicPr>
                    <pic:cNvPr descr="templates/SGH07.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p>
    <w:p>
      <w:pPr>
        <w:pStyle w:val="BodyText"/>
      </w:pPr>
      <w:r>
        <w:rPr>
          <w:b/>
          <w:bCs/>
        </w:rPr>
        <w:t xml:space="preserve">Mentions de danger</w:t>
      </w:r>
      <w:r>
        <w:t xml:space="preserve"> </w:t>
      </w:r>
      <w:r>
        <w:t xml:space="preserve">:</w:t>
      </w:r>
    </w:p>
    <w:p>
      <w:pPr>
        <w:pStyle w:val="Compact"/>
        <w:numPr>
          <w:ilvl w:val="0"/>
          <w:numId w:val="1003"/>
        </w:numPr>
      </w:pPr>
      <w:r>
        <w:t xml:space="preserve">H317</w:t>
      </w:r>
      <w:r>
        <w:t xml:space="preserve"> </w:t>
      </w:r>
      <w:r>
        <w:t xml:space="preserve">Peut provoquer une allergie cutanée.</w:t>
      </w:r>
    </w:p>
    <w:p>
      <w:pPr>
        <w:pStyle w:val="FirstParagraph"/>
      </w:pPr>
      <w:r>
        <w:rPr>
          <w:b/>
          <w:bCs/>
        </w:rPr>
        <w:t xml:space="preserve">Conseils de prudence</w:t>
      </w:r>
      <w:r>
        <w:t xml:space="preserve"> </w:t>
      </w:r>
      <w:r>
        <w:t xml:space="preserve">:</w:t>
      </w:r>
    </w:p>
    <w:p>
      <w:pPr>
        <w:numPr>
          <w:ilvl w:val="0"/>
          <w:numId w:val="1004"/>
        </w:numPr>
      </w:pPr>
      <w:r>
        <w:t xml:space="preserve">P261</w:t>
      </w:r>
      <w:r>
        <w:t xml:space="preserve"> </w:t>
      </w:r>
      <w:r>
        <w:t xml:space="preserve">Éviter de respirer les poussières/fumées/gaz/brouillards/vapeurs/ aérosols.</w:t>
      </w:r>
    </w:p>
    <w:p>
      <w:pPr>
        <w:numPr>
          <w:ilvl w:val="0"/>
          <w:numId w:val="1004"/>
        </w:numPr>
      </w:pPr>
      <w:r>
        <w:t xml:space="preserve">P280</w:t>
      </w:r>
      <w:r>
        <w:t xml:space="preserve"> </w:t>
      </w:r>
      <w:r>
        <w:t xml:space="preserve">Porter des gants de protection/des vêtements de protection/un équipement de protection des yeux/ du visage.</w:t>
      </w:r>
    </w:p>
    <w:p>
      <w:pPr>
        <w:numPr>
          <w:ilvl w:val="0"/>
          <w:numId w:val="1004"/>
        </w:numPr>
      </w:pPr>
      <w:r>
        <w:t xml:space="preserve">P302+P352</w:t>
      </w:r>
      <w:r>
        <w:t xml:space="preserve"> </w:t>
      </w:r>
      <w:r>
        <w:t xml:space="preserve">EN CAS DE CONTACT AVEC LA PEAU:</w:t>
      </w:r>
    </w:p>
    <w:p>
      <w:pPr>
        <w:numPr>
          <w:ilvl w:val="0"/>
          <w:numId w:val="1004"/>
        </w:numPr>
      </w:pPr>
      <w:r>
        <w:t xml:space="preserve">P333+P313</w:t>
      </w:r>
      <w:r>
        <w:t xml:space="preserve"> </w:t>
      </w:r>
      <w:r>
        <w:t xml:space="preserve">En cas d’irritation ou d’éruption cutanée: consulter un médecin.</w:t>
      </w:r>
    </w:p>
    <w:p>
      <w:pPr>
        <w:pStyle w:val="FirstParagraph"/>
      </w:pPr>
      <w:r>
        <w:rPr>
          <w:b/>
          <w:bCs/>
        </w:rPr>
        <w:t xml:space="preserve">Transport</w:t>
      </w:r>
      <w:r>
        <w:t xml:space="preserve"> </w:t>
      </w:r>
      <w:r>
        <w:t xml:space="preserve">:</w:t>
      </w:r>
    </w:p>
    <w:p>
      <w:pPr>
        <w:pStyle w:val="Compact"/>
        <w:numPr>
          <w:ilvl w:val="0"/>
          <w:numId w:val="1005"/>
        </w:numPr>
      </w:pPr>
      <w:r>
        <w:t xml:space="preserve">ADR : pas disponible</w:t>
      </w:r>
    </w:p>
    <w:p>
      <w:pPr>
        <w:pStyle w:val="Compact"/>
        <w:numPr>
          <w:ilvl w:val="0"/>
          <w:numId w:val="1005"/>
        </w:numPr>
      </w:pPr>
      <w:r>
        <w:t xml:space="preserve">RID : pas disponible</w:t>
      </w:r>
    </w:p>
    <w:p>
      <w:pPr>
        <w:pStyle w:val="Compact"/>
        <w:numPr>
          <w:ilvl w:val="0"/>
          <w:numId w:val="1005"/>
        </w:numPr>
      </w:pPr>
      <w:r>
        <w:t xml:space="preserve">ADN : pas disponible</w:t>
      </w:r>
    </w:p>
    <w:p>
      <w:pPr>
        <w:pStyle w:val="Compact"/>
        <w:numPr>
          <w:ilvl w:val="0"/>
          <w:numId w:val="1005"/>
        </w:numPr>
      </w:pPr>
      <w:r>
        <w:t xml:space="preserve">IMDG : pas disponible</w:t>
      </w:r>
    </w:p>
    <w:p>
      <w:pPr>
        <w:pStyle w:val="Compact"/>
        <w:numPr>
          <w:ilvl w:val="0"/>
          <w:numId w:val="1005"/>
        </w:numPr>
      </w:pPr>
      <w:r>
        <w:t xml:space="preserve">IATA : pas disponible</w:t>
      </w:r>
    </w:p>
    <w:p>
      <w:pPr>
        <w:pStyle w:val="Compact"/>
        <w:numPr>
          <w:ilvl w:val="0"/>
          <w:numId w:val="1005"/>
        </w:numPr>
      </w:pPr>
      <w:r>
        <w:t xml:space="preserve">UN : pas disponible</w:t>
      </w:r>
    </w:p>
    <w:bookmarkEnd w:id="33"/>
    <w:bookmarkStart w:id="34" w:name="Xda6f178de632779b007ca26fa4959a763d2c7f4"/>
    <w:p>
      <w:pPr>
        <w:pStyle w:val="Heading2"/>
      </w:pPr>
      <w:r>
        <w:t xml:space="preserve">Dangers et/ou mesures par voie d’exposition</w:t>
      </w:r>
    </w:p>
    <w:p>
      <w:pPr>
        <w:pStyle w:val="FirstParagraph"/>
      </w:pPr>
      <w:r>
        <w:t xml:space="preserve">skin : Laver abondamment la zone touchée avec de l’eau et du savon.</w:t>
      </w:r>
      <w:r>
        <w:t xml:space="preserve"> </w:t>
      </w:r>
      <w:r>
        <w:t xml:space="preserve">Consulter un médecin si une irritation se développe et persiste.</w:t>
      </w:r>
    </w:p>
    <w:p>
      <w:pPr>
        <w:pStyle w:val="BodyText"/>
      </w:pPr>
      <w:r>
        <w:t xml:space="preserve">eyes : Ne pas se frotter les yeux.</w:t>
      </w:r>
      <w:r>
        <w:t xml:space="preserve"> </w:t>
      </w:r>
      <w:r>
        <w:t xml:space="preserve">Rincer abondamment avec de l’eau.</w:t>
      </w:r>
      <w:r>
        <w:t xml:space="preserve"> </w:t>
      </w:r>
      <w:r>
        <w:t xml:space="preserve">Consulter un médecin si une irritation se développe et persiste.</w:t>
      </w:r>
    </w:p>
    <w:p>
      <w:pPr>
        <w:pStyle w:val="BodyText"/>
      </w:pPr>
      <w:r>
        <w:t xml:space="preserve">ingestion : Rincer la bouche.</w:t>
      </w:r>
      <w:r>
        <w:t xml:space="preserve"> </w:t>
      </w:r>
      <w:r>
        <w:t xml:space="preserve">Consulter un médecin en cas de symptômes.</w:t>
      </w:r>
      <w:r>
        <w:t xml:space="preserve"> </w:t>
      </w:r>
      <w:r>
        <w:t xml:space="preserve">En cas d’ingestion en grande quantité, appeler immédiatement un centre antipoison.</w:t>
      </w:r>
    </w:p>
    <w:p>
      <w:pPr>
        <w:pStyle w:val="BodyText"/>
      </w:pPr>
      <w:r>
        <w:t xml:space="preserve">inhalation : Sortir immédiatement à l’air libre.</w:t>
      </w:r>
      <w:r>
        <w:t xml:space="preserve"> </w:t>
      </w:r>
      <w:r>
        <w:t xml:space="preserve">Contacter un médecin si les symptômes se développent ou persistent.</w:t>
      </w:r>
    </w:p>
    <w:p>
      <w:r>
        <w:br w:type="page"/>
      </w:r>
    </w:p>
    <w:bookmarkEnd w:id="34"/>
    <w:bookmarkStart w:id="37" w:name="Xd3fd47f9279b52cc9d4b00e07bdfde0bea6594f"/>
    <w:p>
      <w:pPr>
        <w:pStyle w:val="Heading2"/>
      </w:pPr>
      <w:r>
        <w:t xml:space="preserve">Informations relatives aux substances dangereuses présentes</w:t>
      </w:r>
    </w:p>
    <w:bookmarkStart w:id="36" w:name="vancomycin-hydrochloride"/>
    <w:p>
      <w:pPr>
        <w:pStyle w:val="Heading3"/>
      </w:pPr>
      <w:r>
        <w:t xml:space="preserve">Vancomycin, Hydrochloride</w:t>
      </w:r>
    </w:p>
    <w:p>
      <w:pPr>
        <w:pStyle w:val="FirstParagraph"/>
      </w:pPr>
      <w:r>
        <w:rPr>
          <w:b/>
          <w:bCs/>
        </w:rPr>
        <w:t xml:space="preserve">Identification</w:t>
      </w:r>
    </w:p>
    <w:p>
      <w:pPr>
        <w:pStyle w:val="Compact"/>
        <w:numPr>
          <w:ilvl w:val="0"/>
          <w:numId w:val="1006"/>
        </w:numPr>
      </w:pPr>
      <w:r>
        <w:t xml:space="preserve">N° CAS : 1404-93-9</w:t>
      </w:r>
    </w:p>
    <w:p>
      <w:pPr>
        <w:pStyle w:val="Compact"/>
        <w:numPr>
          <w:ilvl w:val="0"/>
          <w:numId w:val="1006"/>
        </w:numPr>
      </w:pPr>
      <w:r>
        <w:t xml:space="preserve">N° EINECS : None</w:t>
      </w:r>
    </w:p>
    <w:p>
      <w:pPr>
        <w:pStyle w:val="FirstParagraph"/>
      </w:pPr>
      <w:r>
        <w:rPr>
          <w:b/>
          <w:bCs/>
        </w:rPr>
        <w:t xml:space="preserve">Concentration</w:t>
      </w:r>
      <w:r>
        <w:t xml:space="preserve"> </w:t>
      </w:r>
      <w:r>
        <w:t xml:space="preserve">:from 5.0 to 10.0</w:t>
      </w:r>
    </w:p>
    <w:p>
      <w:pPr>
        <w:pStyle w:val="BodyText"/>
      </w:pPr>
      <w:r>
        <w:rPr>
          <w:b/>
          <w:bCs/>
        </w:rPr>
        <w:t xml:space="preserve">Dangers</w:t>
      </w:r>
      <w:r>
        <w:t xml:space="preserve"> </w:t>
      </w:r>
      <w:r>
        <w:t xml:space="preserve">:</w:t>
      </w:r>
    </w:p>
    <w:p>
      <w:pPr>
        <w:numPr>
          <w:ilvl w:val="0"/>
          <w:numId w:val="1007"/>
        </w:numPr>
      </w:pPr>
      <w:r>
        <w:t xml:space="preserve">H315</w:t>
      </w:r>
      <w:r>
        <w:t xml:space="preserve"> </w:t>
      </w:r>
      <w:r>
        <w:t xml:space="preserve">Provoque une irritation cutanée.</w:t>
      </w:r>
    </w:p>
    <w:p>
      <w:pPr>
        <w:numPr>
          <w:ilvl w:val="0"/>
          <w:numId w:val="1007"/>
        </w:numPr>
      </w:pPr>
      <w:r>
        <w:t xml:space="preserve">H317</w:t>
      </w:r>
      <w:r>
        <w:t xml:space="preserve"> </w:t>
      </w:r>
      <w:r>
        <w:t xml:space="preserve">Peut provoquer une allergie cutanée.</w:t>
      </w:r>
    </w:p>
    <w:p>
      <w:pPr>
        <w:numPr>
          <w:ilvl w:val="0"/>
          <w:numId w:val="1007"/>
        </w:numPr>
      </w:pPr>
      <w:r>
        <w:t xml:space="preserve">H319</w:t>
      </w:r>
      <w:r>
        <w:t xml:space="preserve"> </w:t>
      </w:r>
      <w:r>
        <w:t xml:space="preserve">Provoque une sévère irritation des yeux.</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35" w:name="propriétés"/>
    <w:p>
      <w:pPr>
        <w:pStyle w:val="Heading4"/>
      </w:pPr>
      <w:r>
        <w:t xml:space="preserve">Propriétés</w:t>
      </w:r>
    </w:p>
    <w:p>
      <w:pPr>
        <w:pStyle w:val="FirstParagraph"/>
      </w:pPr>
      <w:r>
        <w:t xml:space="preserve">Pas d’informations disponible.</w:t>
      </w:r>
    </w:p>
    <w:bookmarkEnd w:id="35"/>
    <w:bookmarkEnd w:id="36"/>
    <w:bookmarkEnd w:id="37"/>
    <w:bookmarkStart w:id="38"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de protection - Gants de protection en nitrile.</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Lunettes / écrans faciaux - Lunettes de sécurité à écrans latéraux.</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Masque respiratoire / filtre - Appareil respiratoire muni d’un filtre à poussières.</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Vêtements de protection - Vêtement de protection approprié (combinaison ou tenue de protection complète).</w:t>
            </w:r>
          </w:p>
        </w:tc>
      </w:tr>
    </w:tbl>
    <w:bookmarkEnd w:id="38"/>
    <w:bookmarkStart w:id="39"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Minimiser la génération et l’accumulation de poussières. Prévoir une ventilation adéquate aux endroits où la poussière se forme. Éviter de respirer les poussières. Éviter le contact avec les yeux, la peau et les vêtements. Porter un équipement de protection approprié. Suivre les règles de bonnes pratiques chimiques.</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Stocker dans un récipient fermé de manière étanche. Stocker dans un endroit bien ventilé. Conserver à l’écart des matières incompatibles (voir la Section 10 de la FDS).</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Pour contrôle microbiologique exclusivement.</w:t>
            </w:r>
          </w:p>
        </w:tc>
      </w:tr>
    </w:tbl>
    <w:bookmarkEnd w:id="39"/>
    <w:bookmarkEnd w:id="40"/>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5D4391"/>
    <w:rsid w:val="006148BD"/>
    <w:rsid w:val="00666DED"/>
    <w:rsid w:val="008165A3"/>
    <w:rsid w:val="00860E1D"/>
    <w:rsid w:val="008662B7"/>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Hyperlink" w:type="character">
    <w:name w:val="Hyperlink"/>
    <w:basedOn w:val="DefaultParagraphFont"/>
    <w:uiPriority w:val="99"/>
    <w:unhideWhenUsed/>
    <w:rsid w:val="008662B7"/>
    <w:rPr>
      <w:color w:themeColor="hyperlink" w:val="467886"/>
      <w:u w:val="single"/>
    </w:rPr>
  </w:style>
  <w:style w:styleId="UnresolvedMention" w:type="character">
    <w:name w:val="Unresolved Mention"/>
    <w:basedOn w:val="DefaultParagraphFont"/>
    <w:uiPriority w:val="99"/>
    <w:semiHidden/>
    <w:unhideWhenUsed/>
    <w:rsid w:val="008662B7"/>
    <w:rPr>
      <w:color w:val="605E5C"/>
      <w:shd w:color="auto" w:fill="E1DFDD"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23" Type="http://schemas.openxmlformats.org/officeDocument/2006/relationships/image" Target="media/rId23.png"/><Relationship Id="rId20" Type="http://schemas.openxmlformats.org/officeDocument/2006/relationships/image" Target="media/rId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Words>
  <Characters>167</Characters>
  <Application>Microsoft Office Word</Application>
  <DocSecurity>0</DocSecurity>
  <Lines>16</Lines>
  <Paragraphs>18</Paragraphs>
  <ScaleCrop>false</ScaleCrop>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2026-07-06T11:48:55Z</dcterms:created>
  <dcterms:modified xsi:type="dcterms:W3CDTF">2026-07-06T11:48:55Z</dcterms:modified>
</cp:coreProperties>
</file>

<file path=docProps/custom.xml><?xml version="1.0" encoding="utf-8"?>
<Properties xmlns="http://schemas.openxmlformats.org/officeDocument/2006/custom-properties" xmlns:vt="http://schemas.openxmlformats.org/officeDocument/2006/docPropsVTypes"/>
</file>