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vp2biomerieux20120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vp2biomerieux20120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7" w:name="analyse-des-dangers-vp2biomerieux20120"/>
    <w:p>
      <w:pPr>
        <w:pStyle w:val="Heading1"/>
      </w:pPr>
      <w:r>
        <w:t xml:space="preserve">Analyse des dangers : vp2biomerieux20120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vp2biomerieux20120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2024-01-10.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4" name="Picture"/>
            <a:graphic>
              <a:graphicData uri="http://schemas.openxmlformats.org/drawingml/2006/picture">
                <pic:pic>
                  <pic:nvPicPr>
                    <pic:cNvPr descr="templates/SGH05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7" name="Picture"/>
            <a:graphic>
              <a:graphicData uri="http://schemas.openxmlformats.org/drawingml/2006/picture">
                <pic:pic>
                  <pic:nvPicPr>
                    <pic:cNvPr descr="templates/SGH07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P403</w:t>
      </w:r>
      <w:r>
        <w:t xml:space="preserve"> </w:t>
      </w:r>
      <w:r>
        <w:t xml:space="preserve">Stocker dans un endroit bien ventilé.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3</w:t>
      </w:r>
    </w:p>
    <w:p>
      <w:pPr>
        <w:pStyle w:val="Compact"/>
        <w:numPr>
          <w:ilvl w:val="0"/>
          <w:numId w:val="1005"/>
        </w:numPr>
      </w:pPr>
      <w:r>
        <w:t xml:space="preserve">UN : UN1170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tous les vêtements contaminés.</w:t>
      </w:r>
      <w:r>
        <w:t xml:space="preserve"> </w:t>
      </w:r>
      <w:r>
        <w:t xml:space="preserve">Rincer immédiatement la peau à grande eau.</w:t>
      </w:r>
      <w:r>
        <w:t xml:space="preserve"> </w:t>
      </w:r>
      <w:r>
        <w:t xml:space="preserve">En cas de contact cutané mineur, éviter d’étaler la substance sur la peau non contaminée.</w:t>
      </w:r>
      <w:r>
        <w:t xml:space="preserve"> </w:t>
      </w:r>
      <w:r>
        <w:t xml:space="preserve">Traiter les brûlures chimiques par un médecin.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eyes : Laver immédiatement les yeux à grande eau pendant au moins 15 minutes.</w:t>
      </w:r>
      <w:r>
        <w:t xml:space="preserve"> </w:t>
      </w:r>
      <w:r>
        <w:t xml:space="preserve">Les personnes portant des lentilles de contact doivent les enlever autant que possible.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ingestion : En cas d’ingestion, appeler immédiatement un centre antipoison ou un médecin.</w:t>
      </w:r>
      <w:r>
        <w:t xml:space="preserve"> </w:t>
      </w:r>
      <w:r>
        <w:t xml:space="preserve">Ne jamais faire avaler quelque chose à une victime inconsciente ou souffrant de convulsions.</w:t>
      </w:r>
      <w:r>
        <w:t xml:space="preserve"> </w:t>
      </w:r>
      <w:r>
        <w:t xml:space="preserve">Rincer la bouche.</w:t>
      </w:r>
      <w:r>
        <w:t xml:space="preserve"> </w:t>
      </w:r>
      <w:r>
        <w:t xml:space="preserve">Ne pas faire vomir sans l’avis préalable d’un centre antipoison.</w:t>
      </w:r>
      <w:r>
        <w:t xml:space="preserve"> </w:t>
      </w:r>
      <w:r>
        <w:t xml:space="preserve">En cas de vomissement, garder la tête basse pour éviter une pénétration du contenu de l’estomac dans les poumons.</w:t>
      </w:r>
      <w:r>
        <w:t xml:space="preserve"> </w:t>
      </w:r>
      <w:r>
        <w:t xml:space="preserve">Ne pas utiliser le bouche‑à‑bouche si la victime a ingéré la substance.</w:t>
      </w:r>
    </w:p>
    <w:p>
      <w:pPr>
        <w:pStyle w:val="BodyText"/>
      </w:pPr>
      <w:r>
        <w:t xml:space="preserve">inhalation : Transporter la victime à l’extérieur.</w:t>
      </w:r>
      <w:r>
        <w:t xml:space="preserve"> </w:t>
      </w:r>
      <w:r>
        <w:t xml:space="preserve">La maintenir au repos dans une position où elle peut respirer confortablement.</w:t>
      </w:r>
      <w:r>
        <w:t xml:space="preserve"> </w:t>
      </w:r>
      <w:r>
        <w:t xml:space="preserve">Ne pas utiliser le bouche‑à‑bouche si la victime a inhalé la substance.</w:t>
      </w:r>
      <w:r>
        <w:t xml:space="preserve"> </w:t>
      </w:r>
      <w:r>
        <w:t xml:space="preserve">Administer de l’oxygène ou effectuer une respiration artificielle si nécessaire.</w:t>
      </w:r>
      <w:r>
        <w:t xml:space="preserve"> </w:t>
      </w:r>
      <w:r>
        <w:t xml:space="preserve">Contacter un médecin si les symptômes se développent ou persistent.</w:t>
      </w:r>
    </w:p>
    <w:p>
      <w:r>
        <w:br w:type="page"/>
      </w:r>
    </w:p>
    <w:bookmarkEnd w:id="40"/>
    <w:bookmarkStart w:id="5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éthanol-alcool-éthylique"/>
    <w:p>
      <w:pPr>
        <w:pStyle w:val="Heading3"/>
      </w:pPr>
      <w:r>
        <w:t xml:space="preserve">éthanol; alcool éthylique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FICHENovembre 2019Fiche n°48 - ÉthanolFiche présentant l’essentiel des données d’hygiène et de sécurité relatives à« Éthanol »avec un rappel de la réglementation française et des recommandations techniques et médicales.En savoir plus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Start w:id="53" w:name="naphtol"/>
    <w:p>
      <w:pPr>
        <w:pStyle w:val="Heading3"/>
      </w:pPr>
      <w:r>
        <w:t xml:space="preserve">1-naphtol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90-15-3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H330</w:t>
      </w:r>
      <w:r>
        <w:t xml:space="preserve"> </w:t>
      </w:r>
      <w:r>
        <w:t xml:space="preserve">Fatal if inhaled</w:t>
      </w:r>
    </w:p>
    <w:p>
      <w:pPr>
        <w:numPr>
          <w:ilvl w:val="0"/>
          <w:numId w:val="1010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2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2"/>
    <w:bookmarkEnd w:id="53"/>
    <w:bookmarkEnd w:id="54"/>
    <w:bookmarkStart w:id="5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écrans latéraux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Appareil respiratoire homologué (si les contrôles techniques ne maintiennent pas les concentrations atmosphériques en dessous des limites d’exposition)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(combinaisons ou vêtements complets)</w:t>
            </w:r>
          </w:p>
        </w:tc>
      </w:tr>
    </w:tbl>
    <w:bookmarkEnd w:id="55"/>
    <w:bookmarkStart w:id="5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Peut être enflammé par une flamme ouverte. - Ne pas manipuler, entreposer ni ouvrir à proximité d’une flamme nue, de sources de chaleur ou de sources d’inflammation. - Protéger le produit contre la lumière directe. - Ventilation antidéflagrante générale et localisée. - Éviter l’accumulation de charges électrostatiques. - Éviter le contact avec les yeux, la peau et les vêtements. - Éviter toute exposition prolongée. - Lors de l’utilisation, ne pas manger, boire ou fumer. - Porter un équipement de protection approprié. - Se laver les mains soigneusement après manipulation. - Laver les vêtements contaminés avant réutilisation. - 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manipuler ou stocker à proximité d’une flamme nue, d’une source de chaleur ou toute autre source d’ignition. - Température de stockage : entre 2°C et 8°C. - Stocker dans un récipient fermé de manière étanche. - Stocker dans un endroit bien ventilé. - Conserver dans un endroit équipé de sprinklers. - Conserver à l’écart des matières incompatibles (voir la Section 10 de la FDS).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56"/>
    <w:bookmarkEnd w:id="5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1" Type="http://schemas.openxmlformats.org/officeDocument/2006/relationships/hyperlink" Target="https://www.inrs.fr/accueil/publications/bdd/fichetox/fiche.html?refINRS=FICHETOX_48" TargetMode="External"/><Relationship Id="rId44" Type="http://schemas.openxmlformats.org/officeDocument/2006/relationships/hyperlink" Target="https://www.inrs.fr/accueil/publications/bdd/fichetox/fiche.html?refINRS=FICHETOX_48&amp;section=VLEPMesurage" TargetMode="External"/><Relationship Id="rId49" Type="http://schemas.openxmlformats.org/officeDocument/2006/relationships/hyperlink" Target="https://www.inrs.fr/accueil/publications/bdd/fichetox/fiche.html?refINRS=FICHETOX_48&amp;section=bibliographieAuteurs" TargetMode="External"/><Relationship Id="rId43" Type="http://schemas.openxmlformats.org/officeDocument/2006/relationships/hyperlink" Target="https://www.inrs.fr/accueil/publications/bdd/fichetox/fiche.html?refINRS=FICHETOX_48&amp;section=caracteristiques" TargetMode="External"/><Relationship Id="rId42" Type="http://schemas.openxmlformats.org/officeDocument/2006/relationships/hyperlink" Target="https://www.inrs.fr/accueil/publications/bdd/fichetox/fiche.html?refINRS=FICHETOX_48&amp;section=generalites" TargetMode="External"/><Relationship Id="rId45" Type="http://schemas.openxmlformats.org/officeDocument/2006/relationships/hyperlink" Target="https://www.inrs.fr/accueil/publications/bdd/fichetox/fiche.html?refINRS=FICHETOX_48&amp;section=incendieExplosion" TargetMode="External"/><Relationship Id="rId46" Type="http://schemas.openxmlformats.org/officeDocument/2006/relationships/hyperlink" Target="https://www.inrs.fr/accueil/publications/bdd/fichetox/fiche.html?refINRS=FICHETOX_48&amp;section=pathologieToxicologie" TargetMode="External"/><Relationship Id="rId48" Type="http://schemas.openxmlformats.org/officeDocument/2006/relationships/hyperlink" Target="https://www.inrs.fr/accueil/publications/bdd/fichetox/fiche.html?refINRS=FICHETOX_48&amp;section=recommandations" TargetMode="External"/><Relationship Id="rId47" Type="http://schemas.openxmlformats.org/officeDocument/2006/relationships/hyperlink" Target="https://www.inrs.fr/accueil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1" Type="http://schemas.openxmlformats.org/officeDocument/2006/relationships/hyperlink" Target="https://www.inrs.fr/accueil/publications/bdd/fichetox/fiche.html?refINRS=FICHETOX_48" TargetMode="External"/><Relationship Id="rId44" Type="http://schemas.openxmlformats.org/officeDocument/2006/relationships/hyperlink" Target="https://www.inrs.fr/accueil/publications/bdd/fichetox/fiche.html?refINRS=FICHETOX_48&amp;section=VLEPMesurage" TargetMode="External"/><Relationship Id="rId49" Type="http://schemas.openxmlformats.org/officeDocument/2006/relationships/hyperlink" Target="https://www.inrs.fr/accueil/publications/bdd/fichetox/fiche.html?refINRS=FICHETOX_48&amp;section=bibliographieAuteurs" TargetMode="External"/><Relationship Id="rId43" Type="http://schemas.openxmlformats.org/officeDocument/2006/relationships/hyperlink" Target="https://www.inrs.fr/accueil/publications/bdd/fichetox/fiche.html?refINRS=FICHETOX_48&amp;section=caracteristiques" TargetMode="External"/><Relationship Id="rId42" Type="http://schemas.openxmlformats.org/officeDocument/2006/relationships/hyperlink" Target="https://www.inrs.fr/accueil/publications/bdd/fichetox/fiche.html?refINRS=FICHETOX_48&amp;section=generalites" TargetMode="External"/><Relationship Id="rId45" Type="http://schemas.openxmlformats.org/officeDocument/2006/relationships/hyperlink" Target="https://www.inrs.fr/accueil/publications/bdd/fichetox/fiche.html?refINRS=FICHETOX_48&amp;section=incendieExplosion" TargetMode="External"/><Relationship Id="rId46" Type="http://schemas.openxmlformats.org/officeDocument/2006/relationships/hyperlink" Target="https://www.inrs.fr/accueil/publications/bdd/fichetox/fiche.html?refINRS=FICHETOX_48&amp;section=pathologieToxicologie" TargetMode="External"/><Relationship Id="rId48" Type="http://schemas.openxmlformats.org/officeDocument/2006/relationships/hyperlink" Target="https://www.inrs.fr/accueil/publications/bdd/fichetox/fiche.html?refINRS=FICHETOX_48&amp;section=recommandations" TargetMode="External"/><Relationship Id="rId47" Type="http://schemas.openxmlformats.org/officeDocument/2006/relationships/hyperlink" Target="https://www.inrs.fr/accueil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2026-07-06T11:49:09Z</dcterms:created>
  <dcterms:modified xsi:type="dcterms:W3CDTF">2026-07-06T11:49:09Z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