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zinc70380biomerieux</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bioMérieux Benelux s.a.</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2026-07-06</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0.7.1</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zinc70380biomerieux</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51" w:name="analyse-des-dangers-zinc70380biomerieux"/>
    <w:p>
      <w:pPr>
        <w:pStyle w:val="Heading1"/>
      </w:pPr>
      <w:r>
        <w:t xml:space="preserve">Analyse des dangers : zinc70380biomerieux</w:t>
      </w:r>
    </w:p>
    <w:p>
      <w:pPr>
        <w:pStyle w:val="FirstParagraph"/>
      </w:pPr>
      <w:r>
        <w:t xml:space="preserve">Dans la suite, nous détaillons les dangers associés au produit</w:t>
      </w:r>
      <w:r>
        <w:t xml:space="preserve"> </w:t>
      </w:r>
      <w:r>
        <w:rPr>
          <w:b/>
          <w:bCs/>
        </w:rPr>
        <w:t xml:space="preserve">zinc70380biomerieux</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bioMérieux Benelux s.a.</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solide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poudre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Non disponible</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Dispositif médical de diagnostic in vitro.</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2024-02-12</w:t>
            </w:r>
          </w:p>
        </w:tc>
      </w:tr>
    </w:tbl>
    <w:p>
      <w:pPr>
        <w:pStyle w:val="BodyText"/>
      </w:pPr>
      <w:r>
        <w:t xml:space="preserve"> </w:t>
      </w:r>
      <w:r>
        <w:t xml:space="preserve">La FDS date du 2024-02-12. Elle a donc 2 an(s).</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3"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Attention</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Danger pour l’environnement" title="" id="31" name="Picture"/>
            <a:graphic>
              <a:graphicData uri="http://schemas.openxmlformats.org/drawingml/2006/picture">
                <pic:pic>
                  <pic:nvPicPr>
                    <pic:cNvPr descr="templates/SGH09.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Danger pour l’environnement</w:t>
      </w:r>
    </w:p>
    <w:p>
      <w:pPr>
        <w:pStyle w:val="BodyText"/>
      </w:pPr>
      <w:r>
        <w:rPr>
          <w:b/>
          <w:bCs/>
        </w:rPr>
        <w:t xml:space="preserve">Mentions de danger</w:t>
      </w:r>
      <w:r>
        <w:t xml:space="preserve"> </w:t>
      </w:r>
      <w:r>
        <w:t xml:space="preserve">:</w:t>
      </w:r>
    </w:p>
    <w:p>
      <w:pPr>
        <w:numPr>
          <w:ilvl w:val="0"/>
          <w:numId w:val="1003"/>
        </w:numPr>
      </w:pPr>
      <w:r>
        <w:t xml:space="preserve">H400</w:t>
      </w:r>
      <w:r>
        <w:t xml:space="preserve"> </w:t>
      </w:r>
      <w:r>
        <w:t xml:space="preserve">Très toxique pour les organismes aquatiques.</w:t>
      </w:r>
    </w:p>
    <w:p>
      <w:pPr>
        <w:numPr>
          <w:ilvl w:val="0"/>
          <w:numId w:val="1003"/>
        </w:numPr>
      </w:pPr>
      <w:r>
        <w:t xml:space="preserve">H410</w:t>
      </w:r>
      <w:r>
        <w:t xml:space="preserve"> </w:t>
      </w:r>
      <w:r>
        <w:t xml:space="preserve">Très toxique pour les organismes aquatiques, entraîne des effets néfastes à long terme.</w:t>
      </w:r>
    </w:p>
    <w:p>
      <w:pPr>
        <w:pStyle w:val="FirstParagraph"/>
      </w:pPr>
      <w:r>
        <w:rPr>
          <w:b/>
          <w:bCs/>
        </w:rPr>
        <w:t xml:space="preserve">Conseils de prudence</w:t>
      </w:r>
      <w:r>
        <w:t xml:space="preserve"> </w:t>
      </w:r>
      <w:r>
        <w:t xml:space="preserve">:</w:t>
      </w:r>
    </w:p>
    <w:p>
      <w:pPr>
        <w:numPr>
          <w:ilvl w:val="0"/>
          <w:numId w:val="1004"/>
        </w:numPr>
      </w:pPr>
      <w:r>
        <w:t xml:space="preserve">P260</w:t>
      </w:r>
      <w:r>
        <w:t xml:space="preserve"> </w:t>
      </w:r>
      <w:r>
        <w:t xml:space="preserve">Ne pas respirer les poussières/fumées/gaz/brouillards/vapeurs/ aérosols.</w:t>
      </w:r>
    </w:p>
    <w:p>
      <w:pPr>
        <w:numPr>
          <w:ilvl w:val="0"/>
          <w:numId w:val="1004"/>
        </w:numPr>
      </w:pPr>
      <w:r>
        <w:t xml:space="preserve">P273</w:t>
      </w:r>
      <w:r>
        <w:t xml:space="preserve"> </w:t>
      </w:r>
      <w:r>
        <w:t xml:space="preserve">Éviter le rejet dans l’environnement.</w:t>
      </w:r>
    </w:p>
    <w:p>
      <w:pPr>
        <w:numPr>
          <w:ilvl w:val="0"/>
          <w:numId w:val="1004"/>
        </w:numPr>
      </w:pPr>
      <w:r>
        <w:t xml:space="preserve">P280</w:t>
      </w:r>
      <w:r>
        <w:t xml:space="preserve"> </w:t>
      </w:r>
      <w:r>
        <w:t xml:space="preserve">Porter des gants de protection/des vêtements de protection/un équipement de protection des yeux/ du visage.</w:t>
      </w:r>
    </w:p>
    <w:p>
      <w:pPr>
        <w:pStyle w:val="FirstParagraph"/>
      </w:pPr>
      <w:r>
        <w:rPr>
          <w:b/>
          <w:bCs/>
        </w:rPr>
        <w:t xml:space="preserve">Transport</w:t>
      </w:r>
      <w:r>
        <w:t xml:space="preserve"> </w:t>
      </w:r>
      <w:r>
        <w:t xml:space="preserve">:</w:t>
      </w:r>
    </w:p>
    <w:p>
      <w:pPr>
        <w:pStyle w:val="Compact"/>
        <w:numPr>
          <w:ilvl w:val="0"/>
          <w:numId w:val="1005"/>
        </w:numPr>
      </w:pPr>
      <w:r>
        <w:t xml:space="preserve">ADR : 9</w:t>
      </w:r>
    </w:p>
    <w:p>
      <w:pPr>
        <w:pStyle w:val="Compact"/>
        <w:numPr>
          <w:ilvl w:val="0"/>
          <w:numId w:val="1005"/>
        </w:numPr>
      </w:pPr>
      <w:r>
        <w:t xml:space="preserve">RID : pas disponible</w:t>
      </w:r>
    </w:p>
    <w:p>
      <w:pPr>
        <w:pStyle w:val="Compact"/>
        <w:numPr>
          <w:ilvl w:val="0"/>
          <w:numId w:val="1005"/>
        </w:numPr>
      </w:pPr>
      <w:r>
        <w:t xml:space="preserve">ADN : pas disponible</w:t>
      </w:r>
    </w:p>
    <w:p>
      <w:pPr>
        <w:pStyle w:val="Compact"/>
        <w:numPr>
          <w:ilvl w:val="0"/>
          <w:numId w:val="1005"/>
        </w:numPr>
      </w:pPr>
      <w:r>
        <w:t xml:space="preserve">IMDG : 9</w:t>
      </w:r>
    </w:p>
    <w:p>
      <w:pPr>
        <w:pStyle w:val="Compact"/>
        <w:numPr>
          <w:ilvl w:val="0"/>
          <w:numId w:val="1005"/>
        </w:numPr>
      </w:pPr>
      <w:r>
        <w:t xml:space="preserve">IATA : 9</w:t>
      </w:r>
    </w:p>
    <w:p>
      <w:pPr>
        <w:pStyle w:val="Compact"/>
        <w:numPr>
          <w:ilvl w:val="0"/>
          <w:numId w:val="1005"/>
        </w:numPr>
      </w:pPr>
      <w:r>
        <w:t xml:space="preserve">UN : UN3077</w:t>
      </w:r>
    </w:p>
    <w:bookmarkEnd w:id="33"/>
    <w:bookmarkStart w:id="34" w:name="Xda6f178de632779b007ca26fa4959a763d2c7f4"/>
    <w:p>
      <w:pPr>
        <w:pStyle w:val="Heading2"/>
      </w:pPr>
      <w:r>
        <w:t xml:space="preserve">Dangers et/ou mesures par voie d’exposition</w:t>
      </w:r>
    </w:p>
    <w:p>
      <w:pPr>
        <w:pStyle w:val="FirstParagraph"/>
      </w:pPr>
      <w:r>
        <w:t xml:space="preserve">skin : Laver immédiatement et abondamment avec de l’eau et du savon.</w:t>
      </w:r>
    </w:p>
    <w:p>
      <w:pPr>
        <w:pStyle w:val="BodyText"/>
      </w:pPr>
      <w:r>
        <w:t xml:space="preserve">eyes : Ne pas se frotter les yeux. Laver immédiatement les yeux à grande eau pendant au moins 15 minutes. Si la personne porte des lentilles de contact, les enlever autant que possible. Continuer à rincer. Consulter un médecin si une irritation se développe et persiste.</w:t>
      </w:r>
    </w:p>
    <w:p>
      <w:pPr>
        <w:pStyle w:val="BodyText"/>
      </w:pPr>
      <w:r>
        <w:t xml:space="preserve">ingestion : En cas d’ingestion, appeler immédiatement un centre antipoison ou un médecin. Ne jamais faire avaler quelque chose à une victime inconsciente ou souffrant de convulsions. Ne pas faire vomir sans l’avis préalable d’un centre antipoison. Consulter un médecin en cas de symptômes.</w:t>
      </w:r>
    </w:p>
    <w:p>
      <w:pPr>
        <w:pStyle w:val="BodyText"/>
      </w:pPr>
      <w:r>
        <w:t xml:space="preserve">inhalation : Sortir immédiatement à l’air libre. Contacter un médecin si les symptômes se développent ou persistent.</w:t>
      </w:r>
    </w:p>
    <w:p>
      <w:r>
        <w:br w:type="page"/>
      </w:r>
    </w:p>
    <w:bookmarkEnd w:id="34"/>
    <w:bookmarkStart w:id="48" w:name="Xd3fd47f9279b52cc9d4b00e07bdfde0bea6594f"/>
    <w:p>
      <w:pPr>
        <w:pStyle w:val="Heading2"/>
      </w:pPr>
      <w:r>
        <w:t xml:space="preserve">Informations relatives aux substances dangereuses présentes</w:t>
      </w:r>
    </w:p>
    <w:bookmarkStart w:id="45" w:name="Xa40fbd6c99856ee398912429ce51cbd37adf17b"/>
    <w:p>
      <w:pPr>
        <w:pStyle w:val="Heading3"/>
      </w:pPr>
      <w:r>
        <w:t xml:space="preserve">poudre de zinc — poussière de zinc (stabilisé)</w:t>
      </w:r>
    </w:p>
    <w:p>
      <w:pPr>
        <w:pStyle w:val="FirstParagraph"/>
      </w:pPr>
      <w:r>
        <w:rPr>
          <w:b/>
          <w:bCs/>
        </w:rPr>
        <w:t xml:space="preserve">Identification</w:t>
      </w:r>
    </w:p>
    <w:p>
      <w:pPr>
        <w:pStyle w:val="Compact"/>
        <w:numPr>
          <w:ilvl w:val="0"/>
          <w:numId w:val="1006"/>
        </w:numPr>
      </w:pPr>
      <w:r>
        <w:t xml:space="preserve">N° CAS : 7440-66-6</w:t>
      </w:r>
    </w:p>
    <w:p>
      <w:pPr>
        <w:pStyle w:val="Compact"/>
        <w:numPr>
          <w:ilvl w:val="0"/>
          <w:numId w:val="1006"/>
        </w:numPr>
      </w:pPr>
      <w:r>
        <w:t xml:space="preserve">N° EINECS : 231-175-3</w:t>
      </w:r>
    </w:p>
    <w:p>
      <w:pPr>
        <w:pStyle w:val="FirstParagraph"/>
      </w:pPr>
      <w:r>
        <w:rPr>
          <w:b/>
          <w:bCs/>
        </w:rPr>
        <w:t xml:space="preserve">Concentration</w:t>
      </w:r>
      <w:r>
        <w:t xml:space="preserve"> </w:t>
      </w:r>
      <w:r>
        <w:t xml:space="preserve">:from 90.0 to 100.0</w:t>
      </w:r>
    </w:p>
    <w:p>
      <w:pPr>
        <w:pStyle w:val="BodyText"/>
      </w:pPr>
      <w:r>
        <w:rPr>
          <w:b/>
          <w:bCs/>
        </w:rPr>
        <w:t xml:space="preserve">Dangers</w:t>
      </w:r>
      <w:r>
        <w:t xml:space="preserve"> </w:t>
      </w:r>
      <w:r>
        <w:t xml:space="preserve">:</w:t>
      </w:r>
    </w:p>
    <w:p>
      <w:pPr>
        <w:numPr>
          <w:ilvl w:val="0"/>
          <w:numId w:val="1007"/>
        </w:numPr>
      </w:pPr>
      <w:r>
        <w:t xml:space="preserve">H250</w:t>
      </w:r>
      <w:r>
        <w:t xml:space="preserve"> </w:t>
      </w:r>
      <w:r>
        <w:t xml:space="preserve">S’enflamme spontanément au contact de l’air.</w:t>
      </w:r>
    </w:p>
    <w:p>
      <w:pPr>
        <w:numPr>
          <w:ilvl w:val="0"/>
          <w:numId w:val="1007"/>
        </w:numPr>
      </w:pPr>
      <w:r>
        <w:t xml:space="preserve">H260</w:t>
      </w:r>
      <w:r>
        <w:t xml:space="preserve"> </w:t>
      </w:r>
      <w:r>
        <w:t xml:space="preserve">Dégage au contact de l’eau des gaz inflammables qui peuvent s’enflammer spontanément.</w:t>
      </w:r>
    </w:p>
    <w:p>
      <w:pPr>
        <w:numPr>
          <w:ilvl w:val="0"/>
          <w:numId w:val="1007"/>
        </w:numPr>
      </w:pPr>
      <w:r>
        <w:t xml:space="preserve">H302</w:t>
      </w:r>
      <w:r>
        <w:t xml:space="preserve"> </w:t>
      </w:r>
      <w:r>
        <w:t xml:space="preserve">Nocif en cas d’ingestion.</w:t>
      </w:r>
    </w:p>
    <w:p>
      <w:pPr>
        <w:numPr>
          <w:ilvl w:val="0"/>
          <w:numId w:val="1007"/>
        </w:numPr>
      </w:pPr>
      <w:r>
        <w:t xml:space="preserve">H400</w:t>
      </w:r>
      <w:r>
        <w:t xml:space="preserve"> </w:t>
      </w:r>
      <w:r>
        <w:t xml:space="preserve">Très toxique pour les organismes aquatiques.</w:t>
      </w:r>
    </w:p>
    <w:p>
      <w:pPr>
        <w:numPr>
          <w:ilvl w:val="0"/>
          <w:numId w:val="1007"/>
        </w:numPr>
      </w:pPr>
      <w:r>
        <w:t xml:space="preserve">H410</w:t>
      </w:r>
      <w:r>
        <w:t xml:space="preserve"> </w:t>
      </w:r>
      <w:r>
        <w:t xml:space="preserve">Très toxique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4" w:name="propriétés"/>
    <w:p>
      <w:pPr>
        <w:pStyle w:val="Heading4"/>
      </w:pPr>
      <w:r>
        <w:t xml:space="preserve">Propriétés</w:t>
      </w:r>
    </w:p>
    <w:p>
      <w:pPr>
        <w:pStyle w:val="FirstParagraph"/>
      </w:pPr>
      <w:hyperlink r:id="rId35">
        <w:r>
          <w:rPr>
            <w:rStyle w:val="Hyperlink"/>
            <w:color w:val="0856A0"/>
            <w:u w:val="single"/>
          </w:rPr>
          <w:t xml:space="preserve">FICHEJuillet 2020Fiche n°75 - Zinc et composés minérauxFiche présentant l’essentiel des données d’hygiène et de sécurité relatives à« Zinc et composés minéraux »avec un rappel de la réglementation française et des recommandations techniques et médicales.En savoir plus</w:t>
        </w:r>
      </w:hyperlink>
    </w:p>
    <w:p>
      <w:pPr>
        <w:numPr>
          <w:ilvl w:val="0"/>
          <w:numId w:val="1008"/>
        </w:numPr>
      </w:pPr>
      <w:hyperlink r:id="rId36">
        <w:r>
          <w:rPr>
            <w:rStyle w:val="Hyperlink"/>
            <w:color w:val="0856A0"/>
            <w:u w:val="single"/>
          </w:rPr>
          <w:t xml:space="preserve">Généralités</w:t>
        </w:r>
      </w:hyperlink>
    </w:p>
    <w:p>
      <w:pPr>
        <w:numPr>
          <w:ilvl w:val="0"/>
          <w:numId w:val="1008"/>
        </w:numPr>
      </w:pPr>
      <w:hyperlink r:id="rId37">
        <w:r>
          <w:rPr>
            <w:rStyle w:val="Hyperlink"/>
            <w:color w:val="0856A0"/>
            <w:u w:val="single"/>
          </w:rPr>
          <w:t xml:space="preserve">Caractéristiques</w:t>
        </w:r>
      </w:hyperlink>
    </w:p>
    <w:p>
      <w:pPr>
        <w:numPr>
          <w:ilvl w:val="0"/>
          <w:numId w:val="1008"/>
        </w:numPr>
      </w:pPr>
      <w:hyperlink r:id="rId38">
        <w:r>
          <w:rPr>
            <w:rStyle w:val="Hyperlink"/>
            <w:color w:val="0856A0"/>
            <w:u w:val="single"/>
          </w:rPr>
          <w:t xml:space="preserve">VLEPMesurage</w:t>
        </w:r>
      </w:hyperlink>
    </w:p>
    <w:p>
      <w:pPr>
        <w:numPr>
          <w:ilvl w:val="0"/>
          <w:numId w:val="1008"/>
        </w:numPr>
      </w:pPr>
      <w:hyperlink r:id="rId39">
        <w:r>
          <w:rPr>
            <w:rStyle w:val="Hyperlink"/>
            <w:color w:val="0856A0"/>
            <w:u w:val="single"/>
          </w:rPr>
          <w:t xml:space="preserve">Incendie - Explosion[2, 5, 7]</w:t>
        </w:r>
      </w:hyperlink>
    </w:p>
    <w:p>
      <w:pPr>
        <w:numPr>
          <w:ilvl w:val="0"/>
          <w:numId w:val="1008"/>
        </w:numPr>
      </w:pPr>
      <w:hyperlink r:id="rId40">
        <w:r>
          <w:rPr>
            <w:rStyle w:val="Hyperlink"/>
            <w:color w:val="0856A0"/>
            <w:u w:val="single"/>
          </w:rPr>
          <w:t xml:space="preserve">Pathologie - Toxicologie</w:t>
        </w:r>
      </w:hyperlink>
    </w:p>
    <w:p>
      <w:pPr>
        <w:numPr>
          <w:ilvl w:val="0"/>
          <w:numId w:val="1008"/>
        </w:numPr>
      </w:pPr>
      <w:hyperlink r:id="rId41">
        <w:r>
          <w:rPr>
            <w:rStyle w:val="Hyperlink"/>
            <w:color w:val="0856A0"/>
            <w:u w:val="single"/>
          </w:rPr>
          <w:t xml:space="preserve">Règlementation</w:t>
        </w:r>
      </w:hyperlink>
    </w:p>
    <w:p>
      <w:pPr>
        <w:numPr>
          <w:ilvl w:val="0"/>
          <w:numId w:val="1008"/>
        </w:numPr>
      </w:pPr>
      <w:hyperlink r:id="rId42">
        <w:r>
          <w:rPr>
            <w:rStyle w:val="Hyperlink"/>
            <w:color w:val="0856A0"/>
            <w:u w:val="single"/>
          </w:rPr>
          <w:t xml:space="preserve">Recommandations</w:t>
        </w:r>
      </w:hyperlink>
    </w:p>
    <w:p>
      <w:pPr>
        <w:numPr>
          <w:ilvl w:val="0"/>
          <w:numId w:val="1008"/>
        </w:numPr>
      </w:pPr>
      <w:hyperlink r:id="rId43">
        <w:r>
          <w:rPr>
            <w:rStyle w:val="Hyperlink"/>
            <w:color w:val="0856A0"/>
            <w:u w:val="single"/>
          </w:rPr>
          <w:t xml:space="preserve">Bibliographie</w:t>
        </w:r>
      </w:hyperlink>
    </w:p>
    <w:bookmarkEnd w:id="44"/>
    <w:bookmarkEnd w:id="45"/>
    <w:bookmarkStart w:id="47" w:name="oxyde-de-zinc"/>
    <w:p>
      <w:pPr>
        <w:pStyle w:val="Heading3"/>
      </w:pPr>
      <w:r>
        <w:t xml:space="preserve">oxyde de zinc</w:t>
      </w:r>
    </w:p>
    <w:p>
      <w:pPr>
        <w:pStyle w:val="FirstParagraph"/>
      </w:pPr>
      <w:r>
        <w:rPr>
          <w:b/>
          <w:bCs/>
        </w:rPr>
        <w:t xml:space="preserve">Identification</w:t>
      </w:r>
    </w:p>
    <w:p>
      <w:pPr>
        <w:pStyle w:val="Compact"/>
        <w:numPr>
          <w:ilvl w:val="0"/>
          <w:numId w:val="1009"/>
        </w:numPr>
      </w:pPr>
      <w:r>
        <w:t xml:space="preserve">N° CAS : 1314-13-2</w:t>
      </w:r>
    </w:p>
    <w:p>
      <w:pPr>
        <w:pStyle w:val="Compact"/>
        <w:numPr>
          <w:ilvl w:val="0"/>
          <w:numId w:val="1009"/>
        </w:numPr>
      </w:pPr>
      <w:r>
        <w:t xml:space="preserve">N° EINECS : 215-222-5</w:t>
      </w:r>
    </w:p>
    <w:p>
      <w:pPr>
        <w:pStyle w:val="FirstParagraph"/>
      </w:pPr>
      <w:r>
        <w:rPr>
          <w:b/>
          <w:bCs/>
        </w:rPr>
        <w:t xml:space="preserve">Concentration</w:t>
      </w:r>
      <w:r>
        <w:t xml:space="preserve"> </w:t>
      </w:r>
      <w:r>
        <w:t xml:space="preserve">:from 5.0 to 10.0</w:t>
      </w:r>
    </w:p>
    <w:p>
      <w:pPr>
        <w:pStyle w:val="BodyText"/>
      </w:pPr>
      <w:r>
        <w:rPr>
          <w:b/>
          <w:bCs/>
        </w:rPr>
        <w:t xml:space="preserve">Dangers</w:t>
      </w:r>
      <w:r>
        <w:t xml:space="preserve"> </w:t>
      </w:r>
      <w:r>
        <w:t xml:space="preserve">:</w:t>
      </w:r>
    </w:p>
    <w:p>
      <w:pPr>
        <w:numPr>
          <w:ilvl w:val="0"/>
          <w:numId w:val="1010"/>
        </w:numPr>
      </w:pPr>
      <w:r>
        <w:t xml:space="preserve">H400</w:t>
      </w:r>
      <w:r>
        <w:t xml:space="preserve"> </w:t>
      </w:r>
      <w:r>
        <w:t xml:space="preserve">Très toxique pour les organismes aquatiques.</w:t>
      </w:r>
    </w:p>
    <w:p>
      <w:pPr>
        <w:numPr>
          <w:ilvl w:val="0"/>
          <w:numId w:val="1010"/>
        </w:numPr>
      </w:pPr>
      <w:r>
        <w:t xml:space="preserve">H410</w:t>
      </w:r>
      <w:r>
        <w:t xml:space="preserve"> </w:t>
      </w:r>
      <w:r>
        <w:t xml:space="preserve">Très toxique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(mg/m³) : 2.0 - VLE-15min (mg/m³) : 10.0</w:t>
            </w:r>
          </w:p>
        </w:tc>
      </w:tr>
    </w:tbl>
    <w:bookmarkStart w:id="46" w:name="propriétés-1"/>
    <w:p>
      <w:pPr>
        <w:pStyle w:val="Heading4"/>
      </w:pPr>
      <w:r>
        <w:t xml:space="preserve">Propriétés</w:t>
      </w:r>
    </w:p>
    <w:p>
      <w:pPr>
        <w:pStyle w:val="FirstParagraph"/>
      </w:pPr>
      <w:hyperlink r:id="rId35">
        <w:r>
          <w:rPr>
            <w:rStyle w:val="Hyperlink"/>
            <w:color w:val="0856A0"/>
            <w:u w:val="single"/>
          </w:rPr>
          <w:t xml:space="preserve">FICHEJuillet 2020Fiche n°75 - Zinc et composés minérauxFiche présentant l’essentiel des données d’hygiène et de sécurité relatives à« Zinc et composés minéraux »avec un rappel de la réglementation française et des recommandations techniques et médicales.En savoir plus</w:t>
        </w:r>
      </w:hyperlink>
    </w:p>
    <w:p>
      <w:pPr>
        <w:numPr>
          <w:ilvl w:val="0"/>
          <w:numId w:val="1011"/>
        </w:numPr>
      </w:pPr>
      <w:hyperlink r:id="rId36">
        <w:r>
          <w:rPr>
            <w:rStyle w:val="Hyperlink"/>
            <w:color w:val="0856A0"/>
            <w:u w:val="single"/>
          </w:rPr>
          <w:t xml:space="preserve">Généralités</w:t>
        </w:r>
      </w:hyperlink>
    </w:p>
    <w:p>
      <w:pPr>
        <w:numPr>
          <w:ilvl w:val="0"/>
          <w:numId w:val="1011"/>
        </w:numPr>
      </w:pPr>
      <w:hyperlink r:id="rId37">
        <w:r>
          <w:rPr>
            <w:rStyle w:val="Hyperlink"/>
            <w:color w:val="0856A0"/>
            <w:u w:val="single"/>
          </w:rPr>
          <w:t xml:space="preserve">Caractéristiques</w:t>
        </w:r>
      </w:hyperlink>
    </w:p>
    <w:p>
      <w:pPr>
        <w:numPr>
          <w:ilvl w:val="0"/>
          <w:numId w:val="1011"/>
        </w:numPr>
      </w:pPr>
      <w:hyperlink r:id="rId38">
        <w:r>
          <w:rPr>
            <w:rStyle w:val="Hyperlink"/>
            <w:color w:val="0856A0"/>
            <w:u w:val="single"/>
          </w:rPr>
          <w:t xml:space="preserve">VLEPMesurage</w:t>
        </w:r>
      </w:hyperlink>
    </w:p>
    <w:p>
      <w:pPr>
        <w:numPr>
          <w:ilvl w:val="0"/>
          <w:numId w:val="1011"/>
        </w:numPr>
      </w:pPr>
      <w:hyperlink r:id="rId39">
        <w:r>
          <w:rPr>
            <w:rStyle w:val="Hyperlink"/>
            <w:color w:val="0856A0"/>
            <w:u w:val="single"/>
          </w:rPr>
          <w:t xml:space="preserve">Incendie - Explosion[2, 5, 7]</w:t>
        </w:r>
      </w:hyperlink>
    </w:p>
    <w:p>
      <w:pPr>
        <w:numPr>
          <w:ilvl w:val="0"/>
          <w:numId w:val="1011"/>
        </w:numPr>
      </w:pPr>
      <w:hyperlink r:id="rId40">
        <w:r>
          <w:rPr>
            <w:rStyle w:val="Hyperlink"/>
            <w:color w:val="0856A0"/>
            <w:u w:val="single"/>
          </w:rPr>
          <w:t xml:space="preserve">Pathologie - Toxicologie</w:t>
        </w:r>
      </w:hyperlink>
    </w:p>
    <w:p>
      <w:pPr>
        <w:numPr>
          <w:ilvl w:val="0"/>
          <w:numId w:val="1011"/>
        </w:numPr>
      </w:pPr>
      <w:hyperlink r:id="rId41">
        <w:r>
          <w:rPr>
            <w:rStyle w:val="Hyperlink"/>
            <w:color w:val="0856A0"/>
            <w:u w:val="single"/>
          </w:rPr>
          <w:t xml:space="preserve">Règlementation</w:t>
        </w:r>
      </w:hyperlink>
    </w:p>
    <w:p>
      <w:pPr>
        <w:numPr>
          <w:ilvl w:val="0"/>
          <w:numId w:val="1011"/>
        </w:numPr>
      </w:pPr>
      <w:hyperlink r:id="rId42">
        <w:r>
          <w:rPr>
            <w:rStyle w:val="Hyperlink"/>
            <w:color w:val="0856A0"/>
            <w:u w:val="single"/>
          </w:rPr>
          <w:t xml:space="preserve">Recommandations</w:t>
        </w:r>
      </w:hyperlink>
    </w:p>
    <w:p>
      <w:pPr>
        <w:numPr>
          <w:ilvl w:val="0"/>
          <w:numId w:val="1011"/>
        </w:numPr>
      </w:pPr>
      <w:hyperlink r:id="rId43">
        <w:r>
          <w:rPr>
            <w:rStyle w:val="Hyperlink"/>
            <w:color w:val="0856A0"/>
            <w:u w:val="single"/>
          </w:rPr>
          <w:t xml:space="preserve">Bibliographie</w:t>
        </w:r>
      </w:hyperlink>
    </w:p>
    <w:bookmarkEnd w:id="46"/>
    <w:bookmarkEnd w:id="47"/>
    <w:bookmarkEnd w:id="48"/>
    <w:bookmarkStart w:id="49"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Gants de protection Utiliser des gants de protection en : Nitrile. Aucun détail supplémentaire (épaisseur, temps de perçage, etc.) est fourni.</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Protection des yeux / du visage Porter des lunettes de sécurité à écrans latéraux. La présence d’un rince-œil est recommandée. Le texte ne précise pas le type de lunettes (matériau, type de verre, etc.) ni les exigences de protection faciale supplémentaire.</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Gants de protection Utiliser des gants de protection en : Nitrile. Aucun détail supplémentaire (épaisseur, temps de perçage, etc.) est fourni.</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Masques respiratoires / filtres En cas de ventilation insuffisante, porter un appareil respiratoire approprié. Aucun détail sur le type de masque (ex. filtre à particules, à gaz, respirateur autonome, etc.) n’est fourni.</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Vêtements de protection / combinaisons Porter un vêtement de protection approprié. Le document ne précise pas le type de vêtement (combinaison, gilet, etc.), le matériau, la résistance ou les exigences de protection.</w:t>
            </w:r>
          </w:p>
        </w:tc>
      </w:tr>
    </w:tbl>
    <w:bookmarkEnd w:id="49"/>
    <w:bookmarkStart w:id="50"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 Minimiser la génération et l’accumulation de poussières. - Prévoir une ventilation adéquate aux endroits où la poussière se forme. - Éviter toute exposition prolongée. - Porter un équipement de protection approprié. - Éviter le rejet dans l’environnement. - Suivre les règles de bonnes pratiques chimiques.</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 Stocker dans un récipient fermé de manière étanche. - Stocker dans un endroit bien ventilé. - Conserver à l’écart des matières incompatibles (voir la Section 10 de la FDS).</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Dispositif médical de diagnostic in vitro.</w:t>
            </w:r>
          </w:p>
        </w:tc>
      </w:tr>
    </w:tbl>
    <w:bookmarkEnd w:id="50"/>
    <w:bookmarkEnd w:id="51"/>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5D4391"/>
    <w:rsid w:val="006148BD"/>
    <w:rsid w:val="00666DED"/>
    <w:rsid w:val="008165A3"/>
    <w:rsid w:val="00860E1D"/>
    <w:rsid w:val="008662B7"/>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Hyperlink" w:type="character">
    <w:name w:val="Hyperlink"/>
    <w:basedOn w:val="DefaultParagraphFont"/>
    <w:uiPriority w:val="99"/>
    <w:unhideWhenUsed/>
    <w:rsid w:val="008662B7"/>
    <w:rPr>
      <w:color w:themeColor="hyperlink" w:val="467886"/>
      <w:u w:val="single"/>
    </w:rPr>
  </w:style>
  <w:style w:styleId="UnresolvedMention" w:type="character">
    <w:name w:val="Unresolved Mention"/>
    <w:basedOn w:val="DefaultParagraphFont"/>
    <w:uiPriority w:val="99"/>
    <w:semiHidden/>
    <w:unhideWhenUsed/>
    <w:rsid w:val="008662B7"/>
    <w:rPr>
      <w:color w:val="605E5C"/>
      <w:shd w:color="auto" w:fill="E1DFDD" w:val="cle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23" Type="http://schemas.openxmlformats.org/officeDocument/2006/relationships/image" Target="media/rId23.png"/><Relationship Id="rId20" Type="http://schemas.openxmlformats.org/officeDocument/2006/relationships/image" Target="media/rId20.png"/><Relationship Id="rId35" Type="http://schemas.openxmlformats.org/officeDocument/2006/relationships/hyperlink" Target="https://www.inrs.fr/accueil/publications/bdd/fichetox/fiche.html?refINRS=FICHETOX_75" TargetMode="External"/><Relationship Id="rId38" Type="http://schemas.openxmlformats.org/officeDocument/2006/relationships/hyperlink" Target="https://www.inrs.fr/accueil/publications/bdd/fichetox/fiche.html?refINRS=FICHETOX_75&amp;section=VLEPMesurage" TargetMode="External"/><Relationship Id="rId43" Type="http://schemas.openxmlformats.org/officeDocument/2006/relationships/hyperlink" Target="https://www.inrs.fr/accueil/publications/bdd/fichetox/fiche.html?refINRS=FICHETOX_75&amp;section=bibliographieAuteurs" TargetMode="External"/><Relationship Id="rId37" Type="http://schemas.openxmlformats.org/officeDocument/2006/relationships/hyperlink" Target="https://www.inrs.fr/accueil/publications/bdd/fichetox/fiche.html?refINRS=FICHETOX_75&amp;section=caracteristiques" TargetMode="External"/><Relationship Id="rId36" Type="http://schemas.openxmlformats.org/officeDocument/2006/relationships/hyperlink" Target="https://www.inrs.fr/accueil/publications/bdd/fichetox/fiche.html?refINRS=FICHETOX_75&amp;section=generalites" TargetMode="External"/><Relationship Id="rId39" Type="http://schemas.openxmlformats.org/officeDocument/2006/relationships/hyperlink" Target="https://www.inrs.fr/accueil/publications/bdd/fichetox/fiche.html?refINRS=FICHETOX_75&amp;section=incendieExplosion" TargetMode="External"/><Relationship Id="rId40" Type="http://schemas.openxmlformats.org/officeDocument/2006/relationships/hyperlink" Target="https://www.inrs.fr/accueil/publications/bdd/fichetox/fiche.html?refINRS=FICHETOX_75&amp;section=pathologieToxicologie" TargetMode="External"/><Relationship Id="rId42" Type="http://schemas.openxmlformats.org/officeDocument/2006/relationships/hyperlink" Target="https://www.inrs.fr/accueil/publications/bdd/fichetox/fiche.html?refINRS=FICHETOX_75&amp;section=recommandations" TargetMode="External"/><Relationship Id="rId41" Type="http://schemas.openxmlformats.org/officeDocument/2006/relationships/hyperlink" Target="https://www.inrs.fr/accueil/publications/bdd/fichetox/fiche.html?refINRS=FICHETOX_75&amp;section=reglementation" TargetMode="External"/></Relationships>
</file>

<file path=word/_rels/footnotes.xml.rels><?xml version='1.0' encoding='UTF-8' standalone='yes'?>
<Relationships xmlns="http://schemas.openxmlformats.org/package/2006/relationships"><Relationship Id="rId35" Type="http://schemas.openxmlformats.org/officeDocument/2006/relationships/hyperlink" Target="https://www.inrs.fr/accueil/publications/bdd/fichetox/fiche.html?refINRS=FICHETOX_75" TargetMode="External"/><Relationship Id="rId38" Type="http://schemas.openxmlformats.org/officeDocument/2006/relationships/hyperlink" Target="https://www.inrs.fr/accueil/publications/bdd/fichetox/fiche.html?refINRS=FICHETOX_75&amp;section=VLEPMesurage" TargetMode="External"/><Relationship Id="rId43" Type="http://schemas.openxmlformats.org/officeDocument/2006/relationships/hyperlink" Target="https://www.inrs.fr/accueil/publications/bdd/fichetox/fiche.html?refINRS=FICHETOX_75&amp;section=bibliographieAuteurs" TargetMode="External"/><Relationship Id="rId37" Type="http://schemas.openxmlformats.org/officeDocument/2006/relationships/hyperlink" Target="https://www.inrs.fr/accueil/publications/bdd/fichetox/fiche.html?refINRS=FICHETOX_75&amp;section=caracteristiques" TargetMode="External"/><Relationship Id="rId36" Type="http://schemas.openxmlformats.org/officeDocument/2006/relationships/hyperlink" Target="https://www.inrs.fr/accueil/publications/bdd/fichetox/fiche.html?refINRS=FICHETOX_75&amp;section=generalites" TargetMode="External"/><Relationship Id="rId39" Type="http://schemas.openxmlformats.org/officeDocument/2006/relationships/hyperlink" Target="https://www.inrs.fr/accueil/publications/bdd/fichetox/fiche.html?refINRS=FICHETOX_75&amp;section=incendieExplosion" TargetMode="External"/><Relationship Id="rId40" Type="http://schemas.openxmlformats.org/officeDocument/2006/relationships/hyperlink" Target="https://www.inrs.fr/accueil/publications/bdd/fichetox/fiche.html?refINRS=FICHETOX_75&amp;section=pathologieToxicologie" TargetMode="External"/><Relationship Id="rId42" Type="http://schemas.openxmlformats.org/officeDocument/2006/relationships/hyperlink" Target="https://www.inrs.fr/accueil/publications/bdd/fichetox/fiche.html?refINRS=FICHETOX_75&amp;section=recommandations" TargetMode="External"/><Relationship Id="rId41" Type="http://schemas.openxmlformats.org/officeDocument/2006/relationships/hyperlink" Target="https://www.inrs.fr/accueil/publications/bdd/fichetox/fiche.html?refINRS=FICHETOX_75&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38</Words>
  <Characters>167</Characters>
  <Application>Microsoft Office Word</Application>
  <DocSecurity>0</DocSecurity>
  <Lines>16</Lines>
  <Paragraphs>18</Paragraphs>
  <ScaleCrop>false</ScaleCrop>
  <Company/>
  <LinksUpToDate>false</LinksUpToDate>
  <CharactersWithSpaces>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2026-07-06T11:49:20Z</dcterms:created>
  <dcterms:modified xsi:type="dcterms:W3CDTF">2026-07-06T11:49:20Z</dcterms:modified>
</cp:coreProperties>
</file>

<file path=docProps/custom.xml><?xml version="1.0" encoding="utf-8"?>
<Properties xmlns="http://schemas.openxmlformats.org/officeDocument/2006/custom-properties" xmlns:vt="http://schemas.openxmlformats.org/officeDocument/2006/docPropsVTypes"/>
</file>