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zymbractif1biomerieux70493</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zymbractif1biomerieux70493</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9" w:name="X32f74900a27df896df6dbf27f984f8d0565254c"/>
    <w:p>
      <w:pPr>
        <w:pStyle w:val="Heading1"/>
      </w:pPr>
      <w:r>
        <w:t xml:space="preserve">Analyse des dangers : zymbractif1biomerieux70493</w:t>
      </w:r>
    </w:p>
    <w:p>
      <w:pPr>
        <w:pStyle w:val="FirstParagraph"/>
      </w:pPr>
      <w:r>
        <w:t xml:space="preserve">Dans la suite, nous détaillons les dangers associés au produit</w:t>
      </w:r>
      <w:r>
        <w:t xml:space="preserve"> </w:t>
      </w:r>
      <w:r>
        <w:rPr>
          <w:b/>
          <w:bCs/>
        </w:rPr>
        <w:t xml:space="preserve">zymbractif1biomerieux70493</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2026-03-06</w:t>
            </w:r>
          </w:p>
        </w:tc>
      </w:tr>
    </w:tbl>
    <w:p>
      <w:pPr>
        <w:pStyle w:val="BodyText"/>
      </w:pPr>
      <w:r>
        <w:t xml:space="preserve"> </w:t>
      </w:r>
      <w:r>
        <w:t xml:space="preserve">La FDS date du 2026-03-06. Elle a donc 0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42"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Toxicité aiguë" title="" id="34" name="Picture"/>
            <a:graphic>
              <a:graphicData uri="http://schemas.openxmlformats.org/drawingml/2006/picture">
                <pic:pic>
                  <pic:nvPicPr>
                    <pic:cNvPr descr="templates/SGH06.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Toxicité aiguë</w:t>
      </w:r>
      <w:r>
        <w:t xml:space="preserve"> </w:t>
      </w:r>
      <w:r>
        <w:drawing>
          <wp:inline>
            <wp:extent cx="719999" cy="719999"/>
            <wp:effectExtent b="0" l="0" r="0" t="0"/>
            <wp:docPr descr="Nocif / Irritant" title="" id="37" name="Picture"/>
            <a:graphic>
              <a:graphicData uri="http://schemas.openxmlformats.org/drawingml/2006/picture">
                <pic:pic>
                  <pic:nvPicPr>
                    <pic:cNvPr descr="templates/SGH07.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40" name="Picture"/>
            <a:graphic>
              <a:graphicData uri="http://schemas.openxmlformats.org/drawingml/2006/picture">
                <pic:pic>
                  <pic:nvPicPr>
                    <pic:cNvPr descr="templates/SGH08.png" id="41" name="Picture"/>
                    <pic:cNvPicPr>
                      <a:picLocks noChangeArrowheads="1" noChangeAspect="1"/>
                    </pic:cNvPicPr>
                  </pic:nvPicPr>
                  <pic:blipFill>
                    <a:blip r:embed="rId39"/>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p>
    <w:p>
      <w:pPr>
        <w:pStyle w:val="BodyText"/>
      </w:pPr>
      <w:r>
        <w:rPr>
          <w:b/>
          <w:bCs/>
        </w:rPr>
        <w:t xml:space="preserve">Mentions de danger</w:t>
      </w:r>
      <w:r>
        <w:t xml:space="preserve"> </w:t>
      </w:r>
      <w:r>
        <w:t xml:space="preserve">:</w:t>
      </w:r>
    </w:p>
    <w:p>
      <w:pPr>
        <w:numPr>
          <w:ilvl w:val="0"/>
          <w:numId w:val="1003"/>
        </w:numPr>
      </w:pPr>
      <w:r>
        <w:t xml:space="preserve">H226</w:t>
      </w:r>
      <w:r>
        <w:t xml:space="preserve"> </w:t>
      </w:r>
      <w:r>
        <w:t xml:space="preserve">Liquide et vapeurs inflammables.</w:t>
      </w:r>
    </w:p>
    <w:p>
      <w:pPr>
        <w:numPr>
          <w:ilvl w:val="0"/>
          <w:numId w:val="1003"/>
        </w:numPr>
      </w:pPr>
      <w:r>
        <w:t xml:space="preserve">H302</w:t>
      </w:r>
      <w:r>
        <w:t xml:space="preserve"> </w:t>
      </w:r>
      <w:r>
        <w:t xml:space="preserve">Nocif en cas d’ingestion.</w:t>
      </w:r>
    </w:p>
    <w:p>
      <w:pPr>
        <w:numPr>
          <w:ilvl w:val="0"/>
          <w:numId w:val="1003"/>
        </w:numPr>
      </w:pPr>
      <w:r>
        <w:t xml:space="preserve">H311</w:t>
      </w:r>
      <w:r>
        <w:t xml:space="preserve"> </w:t>
      </w:r>
      <w:r>
        <w:t xml:space="preserve">Toxique par contact cutané.</w:t>
      </w:r>
    </w:p>
    <w:p>
      <w:pPr>
        <w:numPr>
          <w:ilvl w:val="0"/>
          <w:numId w:val="1003"/>
        </w:numPr>
      </w:pPr>
      <w:r>
        <w:t xml:space="preserve">H331</w:t>
      </w:r>
      <w:r>
        <w:t xml:space="preserve"> </w:t>
      </w:r>
      <w:r>
        <w:t xml:space="preserve">Toxique par inhalation.</w:t>
      </w:r>
    </w:p>
    <w:p>
      <w:pPr>
        <w:numPr>
          <w:ilvl w:val="0"/>
          <w:numId w:val="1003"/>
        </w:numPr>
      </w:pPr>
      <w:r>
        <w:t xml:space="preserve">H370</w:t>
      </w:r>
      <w:r>
        <w:t xml:space="preserve"> </w:t>
      </w:r>
      <w:r>
        <w:t xml:space="preserve">Risque avéré d’effets graves pour les organes.</w:t>
      </w:r>
    </w:p>
    <w:p>
      <w:pPr>
        <w:pStyle w:val="FirstParagraph"/>
      </w:pPr>
      <w:r>
        <w:rPr>
          <w:b/>
          <w:bCs/>
        </w:rPr>
        <w:t xml:space="preserve">Conseils de prudence</w:t>
      </w:r>
      <w:r>
        <w:t xml:space="preserve"> </w:t>
      </w:r>
      <w:r>
        <w:t xml:space="preserve">:</w:t>
      </w:r>
    </w:p>
    <w:p>
      <w:pPr>
        <w:numPr>
          <w:ilvl w:val="0"/>
          <w:numId w:val="1004"/>
        </w:numPr>
      </w:pPr>
      <w:r>
        <w:t xml:space="preserve">P210</w:t>
      </w:r>
      <w:r>
        <w:t xml:space="preserve"> </w:t>
      </w:r>
      <w:r>
        <w:t xml:space="preserve">P210</w:t>
      </w:r>
    </w:p>
    <w:p>
      <w:pPr>
        <w:numPr>
          <w:ilvl w:val="0"/>
          <w:numId w:val="1004"/>
        </w:numPr>
      </w:pPr>
      <w:r>
        <w:t xml:space="preserve">P235</w:t>
      </w:r>
      <w:r>
        <w:t xml:space="preserve"> </w:t>
      </w:r>
      <w:r>
        <w:t xml:space="preserve">Tenir au frais.</w:t>
      </w:r>
    </w:p>
    <w:p>
      <w:pPr>
        <w:numPr>
          <w:ilvl w:val="0"/>
          <w:numId w:val="1004"/>
        </w:numPr>
      </w:pPr>
      <w:r>
        <w:t xml:space="preserve">P260</w:t>
      </w:r>
      <w:r>
        <w:t xml:space="preserve"> </w:t>
      </w:r>
      <w:r>
        <w:t xml:space="preserve">Ne pas respirer les poussières/fumées/gaz/brouillards/vapeurs/ aérosols.</w:t>
      </w:r>
    </w:p>
    <w:p>
      <w:pPr>
        <w:numPr>
          <w:ilvl w:val="0"/>
          <w:numId w:val="1004"/>
        </w:numPr>
      </w:pPr>
      <w:r>
        <w:t xml:space="preserve">P261</w:t>
      </w:r>
      <w:r>
        <w:t xml:space="preserve"> </w:t>
      </w:r>
      <w:r>
        <w:t xml:space="preserve">Éviter de respirer les poussières/fumées/gaz/brouillards/vapeurs/ aérosols.</w:t>
      </w:r>
    </w:p>
    <w:p>
      <w:pPr>
        <w:numPr>
          <w:ilvl w:val="0"/>
          <w:numId w:val="1004"/>
        </w:numPr>
      </w:pPr>
      <w:r>
        <w:t xml:space="preserve">P264</w:t>
      </w:r>
      <w:r>
        <w:t xml:space="preserve"> </w:t>
      </w:r>
      <w:r>
        <w:t xml:space="preserve">Se laver … soigneusement après manipulation.</w:t>
      </w:r>
    </w:p>
    <w:p>
      <w:pPr>
        <w:numPr>
          <w:ilvl w:val="0"/>
          <w:numId w:val="1004"/>
        </w:numPr>
      </w:pPr>
      <w:r>
        <w:t xml:space="preserve">P270</w:t>
      </w:r>
      <w:r>
        <w:t xml:space="preserve"> </w:t>
      </w:r>
      <w:r>
        <w:t xml:space="preserve">Ne pas manger, boire ou fumer en manipulant ce produit.</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P301+P312</w:t>
      </w:r>
      <w:r>
        <w:t xml:space="preserve"> </w:t>
      </w:r>
      <w:r>
        <w:t xml:space="preserve">EN CAS D’INGESTION:</w:t>
      </w:r>
    </w:p>
    <w:p>
      <w:pPr>
        <w:numPr>
          <w:ilvl w:val="0"/>
          <w:numId w:val="1004"/>
        </w:numPr>
      </w:pPr>
      <w:r>
        <w:t xml:space="preserve">P302+P352</w:t>
      </w:r>
      <w:r>
        <w:t xml:space="preserve"> </w:t>
      </w:r>
      <w:r>
        <w:t xml:space="preserve">EN CAS DE CONTACT AVEC LA PEAU:</w:t>
      </w:r>
    </w:p>
    <w:p>
      <w:pPr>
        <w:numPr>
          <w:ilvl w:val="0"/>
          <w:numId w:val="1004"/>
        </w:numPr>
      </w:pPr>
      <w:r>
        <w:t xml:space="preserve">P304+P340</w:t>
      </w:r>
      <w:r>
        <w:t xml:space="preserve"> </w:t>
      </w:r>
      <w:r>
        <w:t xml:space="preserve">EN CAS D’INHALATION:</w:t>
      </w:r>
    </w:p>
    <w:p>
      <w:pPr>
        <w:numPr>
          <w:ilvl w:val="0"/>
          <w:numId w:val="1004"/>
        </w:numPr>
      </w:pPr>
      <w:r>
        <w:t xml:space="preserve">P308+P311</w:t>
      </w:r>
      <w:r>
        <w:t xml:space="preserve"> </w:t>
      </w:r>
      <w:r>
        <w:t xml:space="preserve">EN CAS d’exposition prouvée ou suspectée:</w:t>
      </w:r>
    </w:p>
    <w:p>
      <w:pPr>
        <w:numPr>
          <w:ilvl w:val="0"/>
          <w:numId w:val="1004"/>
        </w:numPr>
      </w:pPr>
      <w:r>
        <w:t xml:space="preserve">P330</w:t>
      </w:r>
      <w:r>
        <w:t xml:space="preserve"> </w:t>
      </w:r>
      <w:r>
        <w:t xml:space="preserve">Rincer la bouche.</w:t>
      </w:r>
    </w:p>
    <w:p>
      <w:pPr>
        <w:numPr>
          <w:ilvl w:val="0"/>
          <w:numId w:val="1004"/>
        </w:numPr>
      </w:pPr>
      <w:r>
        <w:t xml:space="preserve">P403+P233</w:t>
      </w:r>
      <w:r>
        <w:t xml:space="preserve"> </w:t>
      </w:r>
      <w:r>
        <w:t xml:space="preserve">Stocker dans un endroit bien ventilé. Maintenir le récipient fermé de manière étanche.</w:t>
      </w:r>
    </w:p>
    <w:p>
      <w:pPr>
        <w:numPr>
          <w:ilvl w:val="0"/>
          <w:numId w:val="1004"/>
        </w:numPr>
      </w:pPr>
      <w:r>
        <w:t xml:space="preserve">P501</w:t>
      </w:r>
      <w:r>
        <w:t xml:space="preserve"> </w:t>
      </w:r>
      <w:r>
        <w:t xml:space="preserve">Éliminer le contenu/récipient dans …</w:t>
      </w:r>
    </w:p>
    <w:p>
      <w:pPr>
        <w:pStyle w:val="FirstParagraph"/>
      </w:pPr>
      <w:r>
        <w:rPr>
          <w:b/>
          <w:bCs/>
        </w:rPr>
        <w:t xml:space="preserve">Transport</w:t>
      </w:r>
      <w:r>
        <w:t xml:space="preserve"> </w:t>
      </w:r>
      <w:r>
        <w:t xml:space="preserve">:</w:t>
      </w:r>
    </w:p>
    <w:p>
      <w:pPr>
        <w:pStyle w:val="Compact"/>
        <w:numPr>
          <w:ilvl w:val="0"/>
          <w:numId w:val="1005"/>
        </w:numPr>
      </w:pPr>
      <w:r>
        <w:t xml:space="preserve">ADR : 3</w:t>
      </w:r>
    </w:p>
    <w:p>
      <w:pPr>
        <w:pStyle w:val="Compact"/>
        <w:numPr>
          <w:ilvl w:val="0"/>
          <w:numId w:val="1005"/>
        </w:numPr>
      </w:pPr>
      <w:r>
        <w:t xml:space="preserve">RID : 3</w:t>
      </w:r>
    </w:p>
    <w:p>
      <w:pPr>
        <w:pStyle w:val="Compact"/>
        <w:numPr>
          <w:ilvl w:val="0"/>
          <w:numId w:val="1005"/>
        </w:numPr>
      </w:pPr>
      <w:r>
        <w:t xml:space="preserve">ADN : -</w:t>
      </w:r>
    </w:p>
    <w:p>
      <w:pPr>
        <w:pStyle w:val="Compact"/>
        <w:numPr>
          <w:ilvl w:val="0"/>
          <w:numId w:val="1005"/>
        </w:numPr>
      </w:pPr>
      <w:r>
        <w:t xml:space="preserve">IMDG : 3</w:t>
      </w:r>
    </w:p>
    <w:p>
      <w:pPr>
        <w:pStyle w:val="Compact"/>
        <w:numPr>
          <w:ilvl w:val="0"/>
          <w:numId w:val="1005"/>
        </w:numPr>
      </w:pPr>
      <w:r>
        <w:t xml:space="preserve">IATA : 3</w:t>
      </w:r>
    </w:p>
    <w:p>
      <w:pPr>
        <w:pStyle w:val="Compact"/>
        <w:numPr>
          <w:ilvl w:val="0"/>
          <w:numId w:val="1005"/>
        </w:numPr>
      </w:pPr>
      <w:r>
        <w:t xml:space="preserve">UN : 1230</w:t>
      </w:r>
    </w:p>
    <w:bookmarkEnd w:id="42"/>
    <w:bookmarkStart w:id="43" w:name="Xda6f178de632779b007ca26fa4959a763d2c7f4"/>
    <w:p>
      <w:pPr>
        <w:pStyle w:val="Heading2"/>
      </w:pPr>
      <w:r>
        <w:t xml:space="preserve">Dangers et/ou mesures par voie d’exposition</w:t>
      </w:r>
    </w:p>
    <w:p>
      <w:pPr>
        <w:pStyle w:val="FirstParagraph"/>
      </w:pPr>
      <w:r>
        <w:t xml:space="preserve">skin : Laver abondamment à l’eau et au savon.</w:t>
      </w:r>
      <w:r>
        <w:t xml:space="preserve"> </w:t>
      </w:r>
      <w:r>
        <w:t xml:space="preserve">Enlever les vêtements contaminés et les laver avant réutilisation.</w:t>
      </w:r>
      <w:r>
        <w:t xml:space="preserve"> </w:t>
      </w:r>
      <w:r>
        <w:t xml:space="preserve">Consulter un médecin si une irritation se développe et persiste.</w:t>
      </w:r>
    </w:p>
    <w:p>
      <w:pPr>
        <w:pStyle w:val="BodyText"/>
      </w:pPr>
      <w:r>
        <w:t xml:space="preserve">eyes : Rincer immédiatement les yeux à grande eau pendant au moins 15 minutes.</w:t>
      </w:r>
      <w:r>
        <w:t xml:space="preserve"> </w:t>
      </w:r>
      <w:r>
        <w:t xml:space="preserve">Retirer les lentilles de contact si possible.</w:t>
      </w:r>
      <w:r>
        <w:t xml:space="preserve"> </w:t>
      </w:r>
      <w:r>
        <w:t xml:space="preserve">Continuer le rinçage en continu.</w:t>
      </w:r>
      <w:r>
        <w:t xml:space="preserve"> </w:t>
      </w:r>
      <w:r>
        <w:t xml:space="preserve">Consulter un médecin si une irritation se développe et persiste.</w:t>
      </w:r>
    </w:p>
    <w:p>
      <w:pPr>
        <w:pStyle w:val="BodyText"/>
      </w:pPr>
      <w:r>
        <w:t xml:space="preserve">ingestion : Rincer la bouche.</w:t>
      </w:r>
      <w:r>
        <w:t xml:space="preserve"> </w:t>
      </w:r>
      <w:r>
        <w:t xml:space="preserve">Ne jamais faire vomir sans avis préalable d’un centre antipoison.</w:t>
      </w:r>
      <w:r>
        <w:t xml:space="preserve"> </w:t>
      </w:r>
      <w:r>
        <w:t xml:space="preserve">Ne pas faire avaler quelque chose à une victime inconsciente ou convulsive.</w:t>
      </w:r>
      <w:r>
        <w:t xml:space="preserve"> </w:t>
      </w:r>
      <w:r>
        <w:t xml:space="preserve">Consulter immédiatement un médecin et lui montrer l’emballage ou l’étiquette.</w:t>
      </w:r>
    </w:p>
    <w:p>
      <w:pPr>
        <w:pStyle w:val="BodyText"/>
      </w:pPr>
      <w:r>
        <w:t xml:space="preserve">inhalation : Transporter la victime à l’extérieur.</w:t>
      </w:r>
      <w:r>
        <w:t xml:space="preserve"> </w:t>
      </w:r>
      <w:r>
        <w:t xml:space="preserve">La maintenir dans une position où elle peut respirer confortablement.</w:t>
      </w:r>
      <w:r>
        <w:t xml:space="preserve"> </w:t>
      </w:r>
      <w:r>
        <w:t xml:space="preserve">Contacter un médecin si les symptômes se développent ou persistent.</w:t>
      </w:r>
    </w:p>
    <w:p>
      <w:r>
        <w:br w:type="page"/>
      </w:r>
    </w:p>
    <w:bookmarkEnd w:id="43"/>
    <w:bookmarkStart w:id="46" w:name="Xd3fd47f9279b52cc9d4b00e07bdfde0bea6594f"/>
    <w:p>
      <w:pPr>
        <w:pStyle w:val="Heading2"/>
      </w:pPr>
      <w:r>
        <w:t xml:space="preserve">Informations relatives aux substances dangereuses présentes</w:t>
      </w:r>
    </w:p>
    <w:bookmarkStart w:id="45" w:name="methanol"/>
    <w:p>
      <w:pPr>
        <w:pStyle w:val="Heading3"/>
      </w:pPr>
      <w:r>
        <w:t xml:space="preserve">Methanol</w:t>
      </w:r>
    </w:p>
    <w:p>
      <w:pPr>
        <w:pStyle w:val="FirstParagraph"/>
      </w:pPr>
      <w:r>
        <w:rPr>
          <w:b/>
          <w:bCs/>
        </w:rPr>
        <w:t xml:space="preserve">Identification</w:t>
      </w:r>
    </w:p>
    <w:p>
      <w:pPr>
        <w:pStyle w:val="Compact"/>
        <w:numPr>
          <w:ilvl w:val="0"/>
          <w:numId w:val="1006"/>
        </w:numPr>
      </w:pPr>
      <w:r>
        <w:t xml:space="preserve">N° CAS : 67-66-1</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20.0 to 30.0</w:t>
      </w:r>
    </w:p>
    <w:p>
      <w:pPr>
        <w:pStyle w:val="BodyText"/>
      </w:pPr>
      <w:r>
        <w:rPr>
          <w:b/>
          <w:bCs/>
        </w:rPr>
        <w:t xml:space="preserve">Dangers</w:t>
      </w:r>
      <w:r>
        <w:t xml:space="preserve"> </w:t>
      </w:r>
      <w:r>
        <w:t xml:space="preserve">:</w:t>
      </w:r>
    </w:p>
    <w:p>
      <w:pPr>
        <w:numPr>
          <w:ilvl w:val="0"/>
          <w:numId w:val="1007"/>
        </w:numPr>
      </w:pPr>
      <w:r>
        <w:t xml:space="preserve">H226</w:t>
      </w:r>
      <w:r>
        <w:t xml:space="preserve"> </w:t>
      </w:r>
      <w:r>
        <w:t xml:space="preserve">Liquide et vapeurs inflammables.</w:t>
      </w:r>
    </w:p>
    <w:p>
      <w:pPr>
        <w:numPr>
          <w:ilvl w:val="0"/>
          <w:numId w:val="1007"/>
        </w:numPr>
      </w:pPr>
      <w:r>
        <w:t xml:space="preserve">H302</w:t>
      </w:r>
      <w:r>
        <w:t xml:space="preserve"> </w:t>
      </w:r>
      <w:r>
        <w:t xml:space="preserve">Nocif en cas d’ingestion.</w:t>
      </w:r>
    </w:p>
    <w:p>
      <w:pPr>
        <w:numPr>
          <w:ilvl w:val="0"/>
          <w:numId w:val="1007"/>
        </w:numPr>
      </w:pPr>
      <w:r>
        <w:t xml:space="preserve">H311</w:t>
      </w:r>
      <w:r>
        <w:t xml:space="preserve"> </w:t>
      </w:r>
      <w:r>
        <w:t xml:space="preserve">Toxique par contact cutané.</w:t>
      </w:r>
    </w:p>
    <w:p>
      <w:pPr>
        <w:numPr>
          <w:ilvl w:val="0"/>
          <w:numId w:val="1007"/>
        </w:numPr>
      </w:pPr>
      <w:r>
        <w:t xml:space="preserve">H331</w:t>
      </w:r>
      <w:r>
        <w:t xml:space="preserve"> </w:t>
      </w:r>
      <w:r>
        <w:t xml:space="preserve">Toxique par inhalation.</w:t>
      </w:r>
    </w:p>
    <w:p>
      <w:pPr>
        <w:numPr>
          <w:ilvl w:val="0"/>
          <w:numId w:val="1007"/>
        </w:numPr>
      </w:pPr>
      <w:r>
        <w:t xml:space="preserve">H370</w:t>
      </w:r>
      <w:r>
        <w:t xml:space="preserve"> </w:t>
      </w:r>
      <w:r>
        <w:t xml:space="preserve">Risque avéré d’effets graves pour les organes.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4" w:name="propriétés"/>
    <w:p>
      <w:pPr>
        <w:pStyle w:val="Heading4"/>
      </w:pPr>
      <w:r>
        <w:t xml:space="preserve">Propriétés</w:t>
      </w:r>
    </w:p>
    <w:p>
      <w:pPr>
        <w:pStyle w:val="FirstParagraph"/>
      </w:pPr>
      <w:r>
        <w:t xml:space="preserve">Pas d’informations disponible.</w:t>
      </w:r>
    </w:p>
    <w:bookmarkEnd w:id="44"/>
    <w:bookmarkEnd w:id="45"/>
    <w:bookmarkEnd w:id="46"/>
    <w:bookmarkStart w:id="4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Porter des gants de protection. Utiliser des gants de protection en nitrile.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Éviter le contact avec les yeux. Port d’un masque facial conseillé. Port de lunettes de sécurité à écrans latéraux.</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Porter des gants de protection. Utiliser des gants de protection en nitrile.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47"/>
    <w:bookmarkStart w:id="4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Ne pas manipuler, entreposer ni ouvrir à proximité d’une flamme nue, de sources de chaleur ou de sources d’inflammation. Protéger le produit contre la lumière directe. Éviter l’accumulation de charges électrostatiques. Éviter le contact avec les yeux, la peau et les vêtements. Éviter toute exposition prolongée. Lors de l’utilisation, ne pas manger, boire ou fumer. Porter un équipement de protection approprié. Se laver les mains soigneusement après manipulation. Laver les vêtements contaminés avant réutilisation.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Éloigner de la chaleur, des étincelles et des flammes nues. - Conserver au frais et au sec, à l’abri de la lumière directe du soleil. - Conserver dans l’emballage d’origine à fermeture étanche. - Stocker dans un endroit bien ventilé. - Conserver dans un endroit équipé de sprinklers. Incompatibilités potentielles : - Agents oxydants forts. - Métaux alcalins. - Isocyanates.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48"/>
    <w:bookmarkEnd w:id="4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39" Type="http://schemas.openxmlformats.org/officeDocument/2006/relationships/image" Target="media/rId39.png"/><Relationship Id="rId23" Type="http://schemas.openxmlformats.org/officeDocument/2006/relationships/image" Target="media/rId23.png"/><Relationship Id="rId20" Type="http://schemas.openxmlformats.org/officeDocument/2006/relationships/image" Target="media/rId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2026-07-06T11:49:32Z</dcterms:created>
  <dcterms:modified xsi:type="dcterms:W3CDTF">2026-07-06T11:49:32Z</dcterms:modified>
</cp:coreProperties>
</file>

<file path=docProps/custom.xml><?xml version="1.0" encoding="utf-8"?>
<Properties xmlns="http://schemas.openxmlformats.org/officeDocument/2006/custom-properties" xmlns:vt="http://schemas.openxmlformats.org/officeDocument/2006/docPropsVTypes"/>
</file>