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wd-40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WD-40 Company Limited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2026-07-13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wd-40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9" w:name="analyse-des-dangers-wd-40"/>
    <w:p>
      <w:pPr>
        <w:pStyle w:val="Heading1"/>
      </w:pPr>
      <w:r>
        <w:t xml:space="preserve">Analyse des dangers : wd-40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wd-40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WD-40 Company Limited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aérosol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Pas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contre la corrosion - Graisse (lubrification)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2023-02-09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2023-02-09. Elle a donc 3 an(s).</w:t>
      </w:r>
      <w:r>
        <w:t xml:space="preserve"> </w:t>
      </w:r>
      <w:r>
        <w:t xml:space="preserve">La FDS ayant plus de 3 ans, il est</w:t>
      </w:r>
      <w:r>
        <w:t xml:space="preserve"> </w:t>
      </w:r>
      <w:r>
        <w:rPr>
          <w:i/>
          <w:iCs/>
        </w:rPr>
        <w:t xml:space="preserve">recommandé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P101</w:t>
      </w:r>
      <w:r>
        <w:t xml:space="preserve"> </w:t>
      </w:r>
      <w:r>
        <w:t xml:space="preserve">P101</w:t>
      </w:r>
    </w:p>
    <w:p>
      <w:pPr>
        <w:numPr>
          <w:ilvl w:val="0"/>
          <w:numId w:val="1003"/>
        </w:numPr>
      </w:pPr>
      <w:r>
        <w:t xml:space="preserve">P102</w:t>
      </w:r>
      <w:r>
        <w:t xml:space="preserve"> </w:t>
      </w:r>
      <w:r>
        <w:t xml:space="preserve">P102</w:t>
      </w:r>
    </w:p>
    <w:p>
      <w:pPr>
        <w:numPr>
          <w:ilvl w:val="0"/>
          <w:numId w:val="1003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3"/>
        </w:numPr>
      </w:pPr>
      <w:r>
        <w:t xml:space="preserve">P211</w:t>
      </w:r>
      <w:r>
        <w:t xml:space="preserve"> </w:t>
      </w:r>
      <w:r>
        <w:t xml:space="preserve">P211</w:t>
      </w:r>
    </w:p>
    <w:p>
      <w:pPr>
        <w:numPr>
          <w:ilvl w:val="0"/>
          <w:numId w:val="1003"/>
        </w:numPr>
      </w:pPr>
      <w:r>
        <w:t xml:space="preserve">P251</w:t>
      </w:r>
      <w:r>
        <w:t xml:space="preserve"> </w:t>
      </w:r>
      <w:r>
        <w:t xml:space="preserve">P251</w:t>
      </w:r>
    </w:p>
    <w:p>
      <w:pPr>
        <w:numPr>
          <w:ilvl w:val="0"/>
          <w:numId w:val="1003"/>
        </w:numPr>
      </w:pPr>
      <w:r>
        <w:t xml:space="preserve">P261</w:t>
      </w:r>
      <w:r>
        <w:t xml:space="preserve"> </w:t>
      </w:r>
      <w:r>
        <w:t xml:space="preserve">P261</w:t>
      </w:r>
    </w:p>
    <w:p>
      <w:pPr>
        <w:numPr>
          <w:ilvl w:val="0"/>
          <w:numId w:val="1003"/>
        </w:numPr>
      </w:pPr>
      <w:r>
        <w:t xml:space="preserve">P271</w:t>
      </w:r>
      <w:r>
        <w:t xml:space="preserve"> </w:t>
      </w:r>
      <w:r>
        <w:t xml:space="preserve">P271</w:t>
      </w:r>
    </w:p>
    <w:p>
      <w:pPr>
        <w:numPr>
          <w:ilvl w:val="0"/>
          <w:numId w:val="1003"/>
        </w:numPr>
      </w:pPr>
      <w:r>
        <w:t xml:space="preserve">P301+P310</w:t>
      </w:r>
      <w:r>
        <w:t xml:space="preserve"> </w:t>
      </w:r>
      <w:r>
        <w:t xml:space="preserve">P301+P310</w:t>
      </w:r>
    </w:p>
    <w:p>
      <w:pPr>
        <w:numPr>
          <w:ilvl w:val="0"/>
          <w:numId w:val="1003"/>
        </w:numPr>
      </w:pPr>
      <w:r>
        <w:t xml:space="preserve">P312</w:t>
      </w:r>
      <w:r>
        <w:t xml:space="preserve"> </w:t>
      </w:r>
      <w:r>
        <w:t xml:space="preserve">P312</w:t>
      </w:r>
    </w:p>
    <w:p>
      <w:pPr>
        <w:numPr>
          <w:ilvl w:val="0"/>
          <w:numId w:val="1003"/>
        </w:numPr>
      </w:pPr>
      <w:r>
        <w:t xml:space="preserve">P331</w:t>
      </w:r>
      <w:r>
        <w:t xml:space="preserve"> </w:t>
      </w:r>
      <w:r>
        <w:t xml:space="preserve">P331</w:t>
      </w:r>
    </w:p>
    <w:p>
      <w:pPr>
        <w:numPr>
          <w:ilvl w:val="0"/>
          <w:numId w:val="1003"/>
        </w:numPr>
      </w:pPr>
      <w:r>
        <w:t xml:space="preserve">P405</w:t>
      </w:r>
      <w:r>
        <w:t xml:space="preserve"> </w:t>
      </w:r>
      <w:r>
        <w:t xml:space="preserve">P405</w:t>
      </w:r>
    </w:p>
    <w:p>
      <w:pPr>
        <w:numPr>
          <w:ilvl w:val="0"/>
          <w:numId w:val="1003"/>
        </w:numPr>
      </w:pPr>
      <w:r>
        <w:t xml:space="preserve">P410+P412</w:t>
      </w:r>
      <w:r>
        <w:t xml:space="preserve"> </w:t>
      </w:r>
      <w:r>
        <w:t xml:space="preserve">P410 + P412</w:t>
      </w:r>
    </w:p>
    <w:p>
      <w:pPr>
        <w:numPr>
          <w:ilvl w:val="0"/>
          <w:numId w:val="1003"/>
        </w:numPr>
      </w:pPr>
      <w:r>
        <w:t xml:space="preserve">P501</w:t>
      </w:r>
      <w:r>
        <w:t xml:space="preserve"> </w:t>
      </w:r>
      <w:r>
        <w:t xml:space="preserve">P501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2.1</w:t>
      </w:r>
    </w:p>
    <w:p>
      <w:pPr>
        <w:pStyle w:val="Compact"/>
        <w:numPr>
          <w:ilvl w:val="0"/>
          <w:numId w:val="1004"/>
        </w:numPr>
      </w:pPr>
      <w:r>
        <w:t xml:space="preserve">RID : 2.1</w:t>
      </w:r>
    </w:p>
    <w:p>
      <w:pPr>
        <w:pStyle w:val="Compact"/>
        <w:numPr>
          <w:ilvl w:val="0"/>
          <w:numId w:val="1004"/>
        </w:numPr>
      </w:pPr>
      <w:r>
        <w:t xml:space="preserve">ADN : Please provide the text you would like me to translate into French.</w:t>
      </w:r>
    </w:p>
    <w:p>
      <w:pPr>
        <w:pStyle w:val="Compact"/>
        <w:numPr>
          <w:ilvl w:val="0"/>
          <w:numId w:val="1004"/>
        </w:numPr>
      </w:pPr>
      <w:r>
        <w:t xml:space="preserve">IMDG : 2.1</w:t>
      </w:r>
    </w:p>
    <w:p>
      <w:pPr>
        <w:pStyle w:val="Compact"/>
        <w:numPr>
          <w:ilvl w:val="0"/>
          <w:numId w:val="1004"/>
        </w:numPr>
      </w:pPr>
      <w:r>
        <w:t xml:space="preserve">IATA : 2.1</w:t>
      </w:r>
    </w:p>
    <w:p>
      <w:pPr>
        <w:pStyle w:val="Compact"/>
        <w:numPr>
          <w:ilvl w:val="0"/>
          <w:numId w:val="1004"/>
        </w:numPr>
      </w:pPr>
      <w:r>
        <w:t xml:space="preserve">UN : 1950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peau : Enlevez immédiatement les vêtements souillés ou trempés. Lavez soigneusement la peau à l’eau et au savon abondants. En cas d’irritation (éruption), consultez un médecin.</w:t>
      </w:r>
    </w:p>
    <w:p>
      <w:pPr>
        <w:pStyle w:val="BodyText"/>
      </w:pPr>
      <w:r>
        <w:t xml:space="preserve">yeux : Retirez les lentilles de contact. Lavez soigneusement les yeux pendant plusieurs minutes à l’aide d’une grande quantité d’eau. Consultez un médecin si nécessaire.</w:t>
      </w:r>
    </w:p>
    <w:p>
      <w:pPr>
        <w:pStyle w:val="BodyText"/>
      </w:pPr>
      <w:r>
        <w:t xml:space="preserve">ingestion : Rincez soigneusement la bouche à l’eau. Consultez immédiatement un médecin et gardez la fiche de données à portée de main. Ne provoquez pas de vomissements. Soyez conscient du risque d’aspiration.</w:t>
      </w:r>
    </w:p>
    <w:p>
      <w:pPr>
        <w:pStyle w:val="BodyText"/>
      </w:pPr>
      <w:r>
        <w:t xml:space="preserve">inhalation : Fournir de l’air frais. Éloigner la personne de la zone dangereuse. En cas d’arrêt respiratoire, utiliser un appareil de respiration artificielle.</w:t>
      </w:r>
    </w:p>
    <w:p>
      <w:r>
        <w:br w:type="page"/>
      </w:r>
    </w:p>
    <w:bookmarkEnd w:id="31"/>
    <w:bookmarkStart w:id="36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Xd553763d3559c50897e288ff5f0c8860cb71d13"/>
    <w:p>
      <w:pPr>
        <w:pStyle w:val="Heading3"/>
      </w:pPr>
      <w:r>
        <w:t xml:space="preserve">Hydrocarbons, C9-C11, n-alkanes, isoalkanes, cyclics, &lt;2% aromatics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None</w:t>
      </w:r>
    </w:p>
    <w:p>
      <w:pPr>
        <w:pStyle w:val="Compact"/>
        <w:numPr>
          <w:ilvl w:val="0"/>
          <w:numId w:val="1005"/>
        </w:numPr>
      </w:pPr>
      <w:r>
        <w:t xml:space="preserve">N° EINECS : 919-857-5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60,0 à 80,0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Start w:id="35" w:name="carbon-dioxide"/>
    <w:p>
      <w:pPr>
        <w:pStyle w:val="Heading3"/>
      </w:pPr>
      <w:r>
        <w:t xml:space="preserve">Carbon dioxide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124-38-9</w:t>
      </w:r>
    </w:p>
    <w:p>
      <w:pPr>
        <w:pStyle w:val="Compact"/>
        <w:numPr>
          <w:ilvl w:val="0"/>
          <w:numId w:val="1006"/>
        </w:numPr>
      </w:pPr>
      <w:r>
        <w:t xml:space="preserve">N° EINECS : 204-696-9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1,0 à 3,0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4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4"/>
    <w:bookmarkEnd w:id="35"/>
    <w:bookmarkEnd w:id="36"/>
    <w:bookmarkStart w:id="37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nitriles • Norme : EN ISO 374 • Épaisseur minimale de la couche : ≥ 0,4 mm • Temps de perméation (pénétration) : ≥ 480 min • Les temps de percée n’ont pas été obtenus dans des conditions pratiques ; le temps de port recommandé maximal est de 50 % du temps de percée. • Une crème protectrice pour les mains est recommandée.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Des lunettes de protection ajustées avec protection latérale • Norme : EN 166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travail de protection • Exemples : vêtements de travail de protection à manches longues, chaussures de sécurité EN ISO 20345. • Aucune combinaison spécifique n’est mentionnée ; utiliser des vêtements de protection généraux conformément à la section 8.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Filtre A P3 (EN 14387) – brun/blanc couleur du code • N’utilisez que si les limites d’exposition professionnelle (OEL ou VLE) sont dépassées. • Respectez les limitations de temps de port spécifiées pour les équipements de protection respiratoire.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travail de protection • Exemples : vêtements de travail de protection à manches longues, chaussures de sécurité EN ISO 20345.</w:t>
            </w:r>
          </w:p>
        </w:tc>
      </w:tr>
    </w:tbl>
    <w:bookmarkEnd w:id="37"/>
    <w:bookmarkStart w:id="38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Assurez une bonne ventilation. - Tenez-vous éloigné des sources d’ignition - ne fumez pas. - Ne pas utiliser sur des surfaces chaudes. - Observez les indications sur l’étiquette et les instructions d’utilisation. - Utilisez des méthodes de travail conformes aux instructions de fonctionnement. - Prenez des mesures contre les charges électrostatiques, si nécessaire. - Lavez-vous les mains avant les pauses et à la fin du travail. - Tenez-vous éloigné des aliments, des boissons et des aliments pour animaux. - Retirez les vêtements contaminés et les équipements de protection avant d’entrer dans des zones où des aliments sont consommés.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Gardez le produit hors de portée des personnes non autorisées. - Ne le rangez pas dans les couloirs ou les escaliers. - Respectez toutes les réglementations spéciales applicables aux aérosols. - Conservez-le à l’abri de la lumière directe du soleil et des températures supérieures à 50 °C. - Rangez-le dans un endroit sec, frais et bien ventilé.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contre la corrosion - Graisse (lubrification)</w:t>
            </w:r>
          </w:p>
        </w:tc>
      </w:tr>
    </w:tbl>
    <w:bookmarkEnd w:id="38"/>
    <w:bookmarkEnd w:id="39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2026-07-13T11:02:01Z</dcterms:created>
  <dcterms:modified xsi:type="dcterms:W3CDTF">2026-07-13T11:02:01Z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