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benzinedepetrole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Merck Life Science BV/SRL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2026-07-27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benzinedepetrole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2" w:name="analyse-des-dangers-benzinedepetrole"/>
    <w:p>
      <w:pPr>
        <w:pStyle w:val="Heading1"/>
      </w:pPr>
      <w:r>
        <w:t xml:space="preserve">Analyse des dangers : benzinedepetrole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benzinedepetrole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Merck Life Science BV/SRL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(pas sous forme de poudre, grains, granulés, pastilles, pâte ou autre)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Production chimique ; solvant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2023-02-22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2023-02-22. Elle a donc 3 an(s).</w:t>
      </w:r>
      <w:r>
        <w:t xml:space="preserve"> </w:t>
      </w:r>
      <w:r>
        <w:t xml:space="preserve">La FDS ayant plus de 3 ans, il est</w:t>
      </w:r>
      <w:r>
        <w:t xml:space="preserve"> </w:t>
      </w:r>
      <w:r>
        <w:rPr>
          <w:i/>
          <w:iCs/>
        </w:rPr>
        <w:t xml:space="preserve">recommandé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9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  <w:r>
        <w:t xml:space="preserve"> </w:t>
      </w:r>
      <w:r>
        <w:drawing>
          <wp:inline>
            <wp:extent cx="719999" cy="719999"/>
            <wp:effectExtent b="0" l="0" r="0" t="0"/>
            <wp:docPr descr="Grave pour la santé" title="" id="37" name="Picture"/>
            <a:graphic>
              <a:graphicData uri="http://schemas.openxmlformats.org/drawingml/2006/picture">
                <pic:pic>
                  <pic:nvPicPr>
                    <pic:cNvPr descr="templates/SGH08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3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3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3"/>
        </w:numPr>
      </w:pPr>
      <w:r>
        <w:t xml:space="preserve">H373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numPr>
          <w:ilvl w:val="0"/>
          <w:numId w:val="1003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P201</w:t>
      </w:r>
      <w:r>
        <w:t xml:space="preserve"> </w:t>
      </w:r>
      <w:r>
        <w:t xml:space="preserve">Se procurer les instructions avant utilisation.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4"/>
        </w:numPr>
      </w:pPr>
      <w:r>
        <w:t xml:space="preserve">P301+P310</w:t>
      </w:r>
      <w:r>
        <w:t xml:space="preserve"> </w:t>
      </w:r>
      <w:r>
        <w:t xml:space="preserve">EN CAS D’INGESTION:</w:t>
      </w:r>
    </w:p>
    <w:p>
      <w:pPr>
        <w:numPr>
          <w:ilvl w:val="0"/>
          <w:numId w:val="1004"/>
        </w:numPr>
      </w:pPr>
      <w:r>
        <w:t xml:space="preserve">P303+P361+P353</w:t>
      </w:r>
      <w:r>
        <w:t xml:space="preserve"> </w:t>
      </w:r>
      <w:r>
        <w:t xml:space="preserve">EN CAS DE CONTACT AVEC LA PEAU (ou les cheveux):</w:t>
      </w:r>
    </w:p>
    <w:p>
      <w:pPr>
        <w:numPr>
          <w:ilvl w:val="0"/>
          <w:numId w:val="1004"/>
        </w:numPr>
      </w:pPr>
      <w:r>
        <w:t xml:space="preserve">P331</w:t>
      </w:r>
      <w:r>
        <w:t xml:space="preserve"> </w:t>
      </w:r>
      <w:r>
        <w:t xml:space="preserve">NE PAS faire vomir.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3</w:t>
      </w:r>
    </w:p>
    <w:p>
      <w:pPr>
        <w:pStyle w:val="Compact"/>
        <w:numPr>
          <w:ilvl w:val="0"/>
          <w:numId w:val="1005"/>
        </w:numPr>
      </w:pPr>
      <w:r>
        <w:t xml:space="preserve">RID : 3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3</w:t>
      </w:r>
    </w:p>
    <w:p>
      <w:pPr>
        <w:pStyle w:val="Compact"/>
        <w:numPr>
          <w:ilvl w:val="0"/>
          <w:numId w:val="1005"/>
        </w:numPr>
      </w:pPr>
      <w:r>
        <w:t xml:space="preserve">IATA : 3</w:t>
      </w:r>
    </w:p>
    <w:p>
      <w:pPr>
        <w:pStyle w:val="Compact"/>
        <w:numPr>
          <w:ilvl w:val="0"/>
          <w:numId w:val="1005"/>
        </w:numPr>
      </w:pPr>
      <w:r>
        <w:t xml:space="preserve">UN : 3295</w:t>
      </w:r>
    </w:p>
    <w:bookmarkEnd w:id="39"/>
    <w:bookmarkStart w:id="40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Enlever immédiatement tous les vêtements contaminés.</w:t>
      </w:r>
      <w:r>
        <w:t xml:space="preserve"> </w:t>
      </w:r>
      <w:r>
        <w:t xml:space="preserve">Rincer abondamment la peau à l’eau (ou se doucher).</w:t>
      </w:r>
      <w:r>
        <w:t xml:space="preserve"> </w:t>
      </w:r>
      <w:r>
        <w:t xml:space="preserve">Consulter un médecin.</w:t>
      </w:r>
    </w:p>
    <w:p>
      <w:pPr>
        <w:pStyle w:val="BodyText"/>
      </w:pPr>
      <w:r>
        <w:t xml:space="preserve">eyes : Rincer abondamment les yeux à l’eau.</w:t>
      </w:r>
      <w:r>
        <w:t xml:space="preserve"> </w:t>
      </w:r>
      <w:r>
        <w:t xml:space="preserve">Retirer les lentilles de contact si portées.</w:t>
      </w:r>
      <w:r>
        <w:t xml:space="preserve"> </w:t>
      </w:r>
      <w:r>
        <w:t xml:space="preserve">Consulter un ophtalmologiste.</w:t>
      </w:r>
    </w:p>
    <w:p>
      <w:pPr>
        <w:pStyle w:val="BodyText"/>
      </w:pPr>
      <w:r>
        <w:t xml:space="preserve">ingestion : Ne pas faire vomir (éviter le risque d’aspiration).</w:t>
      </w:r>
      <w:r>
        <w:t xml:space="preserve"> </w:t>
      </w:r>
      <w:r>
        <w:t xml:space="preserve">Tenir les voies respiratoires libres.</w:t>
      </w:r>
      <w:r>
        <w:t xml:space="preserve"> </w:t>
      </w:r>
      <w:r>
        <w:t xml:space="preserve">Appeler immédiatement un médecin ou un centre antipoison.</w:t>
      </w:r>
    </w:p>
    <w:p>
      <w:pPr>
        <w:pStyle w:val="BodyText"/>
      </w:pPr>
      <w:r>
        <w:t xml:space="preserve">inhalation : Faire respirer l’individu à l’air frais.</w:t>
      </w:r>
      <w:r>
        <w:t xml:space="preserve"> </w:t>
      </w:r>
      <w:r>
        <w:t xml:space="preserve">Consulter un médecin.</w:t>
      </w:r>
    </w:p>
    <w:p>
      <w:r>
        <w:br w:type="page"/>
      </w:r>
    </w:p>
    <w:bookmarkEnd w:id="40"/>
    <w:bookmarkStart w:id="49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Xf13e0ea1b4ee9c07815305f40efa73a5d7cfc65"/>
    <w:p>
      <w:pPr>
        <w:pStyle w:val="Heading3"/>
      </w:pPr>
      <w:r>
        <w:t xml:space="preserve">Hydrocarbons, C6, n-alkanes, isoalkanes, cyclics, n-hexane rich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None</w:t>
      </w:r>
    </w:p>
    <w:p>
      <w:pPr>
        <w:pStyle w:val="Compact"/>
        <w:numPr>
          <w:ilvl w:val="0"/>
          <w:numId w:val="1006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50.0 to 70.0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7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7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7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7"/>
        </w:numPr>
      </w:pPr>
      <w:r>
        <w:t xml:space="preserve">H373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numPr>
          <w:ilvl w:val="0"/>
          <w:numId w:val="1007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1"/>
    <w:bookmarkEnd w:id="42"/>
    <w:bookmarkStart w:id="44" w:name="pentane"/>
    <w:p>
      <w:pPr>
        <w:pStyle w:val="Heading3"/>
      </w:pPr>
      <w:r>
        <w:t xml:space="preserve">pentane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109-66-0</w:t>
      </w:r>
    </w:p>
    <w:p>
      <w:pPr>
        <w:pStyle w:val="Compact"/>
        <w:numPr>
          <w:ilvl w:val="0"/>
          <w:numId w:val="1008"/>
        </w:numPr>
      </w:pPr>
      <w:r>
        <w:t xml:space="preserve">N° EINECS : 203-692-4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20.0 to 25.0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9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9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9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600.0 - VLE-8h (mg/m³) : 1800.0 - VLE-15min (ppm) : 750.0 - VLE-15min (mg/m³) : 2250.0</w:t>
            </w:r>
          </w:p>
        </w:tc>
      </w:tr>
    </w:tbl>
    <w:bookmarkStart w:id="43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3"/>
    <w:bookmarkEnd w:id="44"/>
    <w:bookmarkStart w:id="46" w:name="hydrocarbons-c6-isoalkanes"/>
    <w:p>
      <w:pPr>
        <w:pStyle w:val="Heading3"/>
      </w:pPr>
      <w:r>
        <w:t xml:space="preserve">Hydrocarbons, C6, isoalkanes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None</w:t>
      </w:r>
    </w:p>
    <w:p>
      <w:pPr>
        <w:pStyle w:val="Compact"/>
        <w:numPr>
          <w:ilvl w:val="0"/>
          <w:numId w:val="1010"/>
        </w:numPr>
      </w:pPr>
      <w:r>
        <w:t xml:space="preserve">N° EINECS : 295-570-2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20.0 to 25.0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1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11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1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11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5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5"/>
    <w:bookmarkEnd w:id="46"/>
    <w:bookmarkStart w:id="48" w:name="X4b58e29254619ea367fb177bc21fe05deb321c3"/>
    <w:p>
      <w:pPr>
        <w:pStyle w:val="Heading3"/>
      </w:pPr>
      <w:r>
        <w:t xml:space="preserve">Hydrocarbons, C6-C7, n-alkanes, isoalkanes, cyclics,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None</w:t>
      </w:r>
    </w:p>
    <w:p>
      <w:pPr>
        <w:pStyle w:val="Compact"/>
        <w:numPr>
          <w:ilvl w:val="0"/>
          <w:numId w:val="1012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3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3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13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3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7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7"/>
    <w:bookmarkEnd w:id="48"/>
    <w:bookmarkEnd w:id="49"/>
    <w:bookmarkStart w:id="50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 : caoutchouc nitrile.</w:t>
            </w:r>
            <w:r>
              <w:rPr>
                <w:sz w:val="20"/>
                <w:szCs w:val="20"/>
              </w:rPr>
              <w:t xml:space="preserve">• Épaisseur minimale : 0,40 mm.</w:t>
            </w:r>
            <w:r>
              <w:rPr>
                <w:sz w:val="20"/>
                <w:szCs w:val="20"/>
              </w:rPr>
              <w:t xml:space="preserve">• Temps de rupture (durée maximale d’exposition avant rupture) : 480 min.</w:t>
            </w:r>
            <w:r>
              <w:rPr>
                <w:sz w:val="20"/>
                <w:szCs w:val="20"/>
              </w:rPr>
              <w:t xml:space="preserve">• Matériau testé : Camatril® (KCL 730 / Aldrich Z677442, Taille M).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Lunettes/écrans faciaux • Utiliser un équipement de protection des yeux et du visage conforme aux normes gouvernementales en vigueur (NIOSH US ou EN 166 (EU)).</w:t>
            </w:r>
            <w:r>
              <w:rPr>
                <w:sz w:val="20"/>
                <w:szCs w:val="20"/>
              </w:rPr>
              <w:t xml:space="preserve">• Lunettes de sécurité.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 : caoutchouc nitrile.</w:t>
            </w:r>
            <w:r>
              <w:rPr>
                <w:sz w:val="20"/>
                <w:szCs w:val="20"/>
              </w:rPr>
              <w:t xml:space="preserve">• Épaisseur minimale : 0,40 mm.</w:t>
            </w:r>
            <w:r>
              <w:rPr>
                <w:sz w:val="20"/>
                <w:szCs w:val="20"/>
              </w:rPr>
              <w:t xml:space="preserve">• Temps de rupture (durée maximale d’exposition avant rupture) : 480 min.</w:t>
            </w:r>
            <w:r>
              <w:rPr>
                <w:sz w:val="20"/>
                <w:szCs w:val="20"/>
              </w:rPr>
              <w:t xml:space="preserve">• Matériau testé : Camatril® (KCL 730 / Aldrich Z677442, Taille M).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Type de filtre recommandé : Filtre AX (NE 371).</w:t>
            </w:r>
            <w:r>
              <w:rPr>
                <w:sz w:val="20"/>
                <w:szCs w:val="20"/>
              </w:rPr>
              <w:t xml:space="preserve">• Le porteur doit s’assurer que la maintenance, le nettoyage et le contrôle des dispositifs respiratoires sont effectués conformément aux instructions du fabricant et correctement documentés.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Tenue de protection antistatique ignifuge (combinaison complète)</w:t>
            </w:r>
          </w:p>
        </w:tc>
      </w:tr>
    </w:tbl>
    <w:bookmarkEnd w:id="50"/>
    <w:bookmarkStart w:id="51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Travailler sous une hotte. - Ne pas inhaler la substance/le mélange (éviter l’inhalation de vapeurs). - Éviter la formation d’aérosols et limiter le dégagement de vapeur. Protection contre l’incendie et l’explosion : - Tenir à l’abri des flammes nues, des surfaces chaudes et des sources d’inflammation. - Prendre des mesures de précaution contre les décharges électrostatiques.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 : - Tenir le récipient bien fermé dans un endroit sec et bien aéré. - Tenir à l’écart de la chaleur et des sources d’ignition. - Respecter la température de stockage recommandée indiquée sur l’étiquette du produit.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Production chimique ; solvant</w:t>
            </w:r>
          </w:p>
        </w:tc>
      </w:tr>
    </w:tbl>
    <w:bookmarkEnd w:id="51"/>
    <w:bookmarkEnd w:id="52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36" Type="http://schemas.openxmlformats.org/officeDocument/2006/relationships/image" Target="media/rId36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2026-07-27T12:43:25Z</dcterms:created>
  <dcterms:modified xsi:type="dcterms:W3CDTF">2026-07-27T12:43:25Z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