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aquafontaine_fds-1</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IPC</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2026-04-01</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0.6.0</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aquafontaine_fds-1</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55" w:name="analyse-des-dangers-aquafontaine_fds-1"/>
    <w:p>
      <w:pPr>
        <w:pStyle w:val="Heading1"/>
      </w:pPr>
      <w:r>
        <w:t xml:space="preserve">Analyse des dangers : aquafontaine_fds-1</w:t>
      </w:r>
    </w:p>
    <w:p>
      <w:pPr>
        <w:pStyle w:val="FirstParagraph"/>
      </w:pPr>
      <w:r>
        <w:t xml:space="preserve">Dans la suite, nous détaillons les dangers associés au produit</w:t>
      </w:r>
      <w:r>
        <w:t xml:space="preserve"> </w:t>
      </w:r>
      <w:r>
        <w:rPr>
          <w:b/>
          <w:bCs/>
        </w:rPr>
        <w:t xml:space="preserve">aquafontaine_fds-1</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IPC</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limpide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11.10</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Lessive de dégraissage spéciale fontaine.</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2015-12-04</w:t>
            </w:r>
          </w:p>
        </w:tc>
      </w:tr>
    </w:tbl>
    <w:p>
      <w:pPr>
        <w:pStyle w:val="BodyText"/>
      </w:pPr>
      <w:r>
        <w:t xml:space="preserve"> </w:t>
      </w:r>
      <w:r>
        <w:t xml:space="preserve">La FDS date du 2015-12-04. Elle a donc 10 an(s).</w:t>
      </w:r>
    </w:p>
    <w:p>
      <w:pPr>
        <w:pStyle w:val="BodyText"/>
      </w:pPr>
      <w:r>
        <w:t xml:space="preserve">La FDS ayant plus de 5 ans, il est</w:t>
      </w:r>
      <w:r>
        <w:t xml:space="preserve"> </w:t>
      </w:r>
      <w:r>
        <w:rPr>
          <w:i/>
          <w:iCs/>
        </w:rPr>
        <w:t xml:space="preserve">nécessaire</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3"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Danger</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Corrosif" title="" id="31" name="Picture"/>
            <a:graphic>
              <a:graphicData uri="http://schemas.openxmlformats.org/drawingml/2006/picture">
                <pic:pic>
                  <pic:nvPicPr>
                    <pic:cNvPr descr="templates/SGH05.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Corrosif</w:t>
      </w:r>
    </w:p>
    <w:p>
      <w:pPr>
        <w:pStyle w:val="BodyText"/>
      </w:pPr>
      <w:r>
        <w:rPr>
          <w:b/>
          <w:bCs/>
        </w:rPr>
        <w:t xml:space="preserve">Mentions de danger</w:t>
      </w:r>
      <w:r>
        <w:t xml:space="preserve"> </w:t>
      </w:r>
      <w:r>
        <w:t xml:space="preserve">:</w:t>
      </w:r>
    </w:p>
    <w:p>
      <w:pPr>
        <w:pStyle w:val="Compact"/>
        <w:numPr>
          <w:ilvl w:val="0"/>
          <w:numId w:val="1003"/>
        </w:numPr>
      </w:pPr>
      <w:r>
        <w:t xml:space="preserve">H318</w:t>
      </w:r>
      <w:r>
        <w:t xml:space="preserve"> </w:t>
      </w:r>
      <w:r>
        <w:t xml:space="preserve">Provoque des lésions oculaires graves.</w:t>
      </w:r>
    </w:p>
    <w:p>
      <w:pPr>
        <w:pStyle w:val="FirstParagraph"/>
      </w:pPr>
      <w:r>
        <w:rPr>
          <w:b/>
          <w:bCs/>
        </w:rPr>
        <w:t xml:space="preserve">Conseils de prudence</w:t>
      </w:r>
      <w:r>
        <w:t xml:space="preserve"> </w:t>
      </w:r>
      <w:r>
        <w:t xml:space="preserve">:</w:t>
      </w:r>
    </w:p>
    <w:p>
      <w:pPr>
        <w:numPr>
          <w:ilvl w:val="0"/>
          <w:numId w:val="1004"/>
        </w:numPr>
      </w:pPr>
      <w:r>
        <w:t xml:space="preserve">P280</w:t>
      </w:r>
      <w:r>
        <w:t xml:space="preserve"> </w:t>
      </w:r>
      <w:r>
        <w:t xml:space="preserve">Porter des gants de protection/des vêtements de protection/un équipement de protection des yeux/ du visage.</w:t>
      </w:r>
    </w:p>
    <w:p>
      <w:pPr>
        <w:numPr>
          <w:ilvl w:val="0"/>
          <w:numId w:val="1004"/>
        </w:numPr>
      </w:pPr>
      <w:r>
        <w:t xml:space="preserve">P305+P351+P338</w:t>
      </w:r>
      <w:r>
        <w:t xml:space="preserve"> </w:t>
      </w:r>
      <w:r>
        <w:t xml:space="preserve">EN CAS DE CONTACT AVEC LES YEUX: rincer avec précaution à l’eau pendant plusieurs minutes. Enlever les lentilles de contact si la victime en porte et si elles peuvent être facilement enlevées. Continuer à rincer.</w:t>
      </w:r>
    </w:p>
    <w:p>
      <w:pPr>
        <w:pStyle w:val="FirstParagraph"/>
      </w:pPr>
      <w:r>
        <w:rPr>
          <w:b/>
          <w:bCs/>
        </w:rPr>
        <w:t xml:space="preserve">Transport</w:t>
      </w:r>
      <w:r>
        <w:t xml:space="preserve"> </w:t>
      </w:r>
      <w:r>
        <w:t xml:space="preserve">:</w:t>
      </w:r>
    </w:p>
    <w:p>
      <w:pPr>
        <w:pStyle w:val="Compact"/>
        <w:numPr>
          <w:ilvl w:val="0"/>
          <w:numId w:val="1005"/>
        </w:numPr>
      </w:pPr>
      <w:r>
        <w:t xml:space="preserve">ADR : -</w:t>
      </w:r>
    </w:p>
    <w:p>
      <w:pPr>
        <w:pStyle w:val="Compact"/>
        <w:numPr>
          <w:ilvl w:val="0"/>
          <w:numId w:val="1005"/>
        </w:numPr>
      </w:pPr>
      <w:r>
        <w:t xml:space="preserve">RID : -</w:t>
      </w:r>
    </w:p>
    <w:p>
      <w:pPr>
        <w:pStyle w:val="Compact"/>
        <w:numPr>
          <w:ilvl w:val="0"/>
          <w:numId w:val="1005"/>
        </w:numPr>
      </w:pPr>
      <w:r>
        <w:t xml:space="preserve">ADN : -</w:t>
      </w:r>
    </w:p>
    <w:p>
      <w:pPr>
        <w:pStyle w:val="Compact"/>
        <w:numPr>
          <w:ilvl w:val="0"/>
          <w:numId w:val="1005"/>
        </w:numPr>
      </w:pPr>
      <w:r>
        <w:t xml:space="preserve">IMDG : -</w:t>
      </w:r>
    </w:p>
    <w:p>
      <w:pPr>
        <w:pStyle w:val="Compact"/>
        <w:numPr>
          <w:ilvl w:val="0"/>
          <w:numId w:val="1005"/>
        </w:numPr>
      </w:pPr>
      <w:r>
        <w:t xml:space="preserve">IATA : -</w:t>
      </w:r>
    </w:p>
    <w:p>
      <w:pPr>
        <w:pStyle w:val="Compact"/>
        <w:numPr>
          <w:ilvl w:val="0"/>
          <w:numId w:val="1005"/>
        </w:numPr>
      </w:pPr>
      <w:r>
        <w:t xml:space="preserve">UN : -</w:t>
      </w:r>
    </w:p>
    <w:bookmarkEnd w:id="33"/>
    <w:bookmarkStart w:id="34" w:name="Xda6f178de632779b007ca26fa4959a763d2c7f4"/>
    <w:p>
      <w:pPr>
        <w:pStyle w:val="Heading2"/>
      </w:pPr>
      <w:r>
        <w:t xml:space="preserve">Dangers et/ou mesures par voie d’exposition</w:t>
      </w:r>
    </w:p>
    <w:p>
      <w:pPr>
        <w:pStyle w:val="FirstParagraph"/>
      </w:pPr>
      <w:r>
        <w:t xml:space="preserve">skin : Laver soigneusement à l’eau et au savon.</w:t>
      </w:r>
      <w:r>
        <w:t xml:space="preserve"> </w:t>
      </w:r>
      <w:r>
        <w:t xml:space="preserve">Rincer pendant 10 minutes.</w:t>
      </w:r>
    </w:p>
    <w:p>
      <w:pPr>
        <w:pStyle w:val="BodyText"/>
      </w:pPr>
      <w:r>
        <w:t xml:space="preserve">eyes : Rincer les yeux pendant plusieurs minutes, sous l’eau courante en écartant bien les paupières.</w:t>
      </w:r>
      <w:r>
        <w:t xml:space="preserve"> </w:t>
      </w:r>
      <w:r>
        <w:t xml:space="preserve">Enlever les lentilles de contact si la personne en porte et si elles peuvent être facilement retirées.</w:t>
      </w:r>
      <w:r>
        <w:t xml:space="preserve"> </w:t>
      </w:r>
      <w:r>
        <w:t xml:space="preserve">Continuer à rincer abondamment à l’eau.</w:t>
      </w:r>
      <w:r>
        <w:t xml:space="preserve"> </w:t>
      </w:r>
      <w:r>
        <w:t xml:space="preserve">Si l’irritation oculaire persiste, consulter un médecin.</w:t>
      </w:r>
    </w:p>
    <w:p>
      <w:pPr>
        <w:pStyle w:val="BodyText"/>
      </w:pPr>
      <w:r>
        <w:t xml:space="preserve">ingestion : Aucune donnée n’est disponible.</w:t>
      </w:r>
    </w:p>
    <w:p>
      <w:pPr>
        <w:pStyle w:val="BodyText"/>
      </w:pPr>
      <w:r>
        <w:t xml:space="preserve">inhalation : Aucune donnée n’est disponible.</w:t>
      </w:r>
    </w:p>
    <w:p>
      <w:r>
        <w:br w:type="page"/>
      </w:r>
    </w:p>
    <w:bookmarkEnd w:id="34"/>
    <w:bookmarkStart w:id="52" w:name="Xd3fd47f9279b52cc9d4b00e07bdfde0bea6594f"/>
    <w:p>
      <w:pPr>
        <w:pStyle w:val="Heading2"/>
      </w:pPr>
      <w:r>
        <w:t xml:space="preserve">Informations relatives aux substances dangereuses présentes</w:t>
      </w:r>
    </w:p>
    <w:bookmarkStart w:id="45" w:name="edta-et-sels"/>
    <w:p>
      <w:pPr>
        <w:pStyle w:val="Heading3"/>
      </w:pPr>
      <w:r>
        <w:t xml:space="preserve">EDTA ET SELS</w:t>
      </w:r>
    </w:p>
    <w:p>
      <w:pPr>
        <w:pStyle w:val="FirstParagraph"/>
      </w:pPr>
      <w:r>
        <w:rPr>
          <w:b/>
          <w:bCs/>
        </w:rPr>
        <w:t xml:space="preserve">Identification</w:t>
      </w:r>
    </w:p>
    <w:p>
      <w:pPr>
        <w:pStyle w:val="Compact"/>
        <w:numPr>
          <w:ilvl w:val="0"/>
          <w:numId w:val="1006"/>
        </w:numPr>
      </w:pPr>
      <w:r>
        <w:t xml:space="preserve">N° CAS : 64-02-8</w:t>
      </w:r>
    </w:p>
    <w:p>
      <w:pPr>
        <w:pStyle w:val="Compact"/>
        <w:numPr>
          <w:ilvl w:val="0"/>
          <w:numId w:val="1006"/>
        </w:numPr>
      </w:pPr>
      <w:r>
        <w:t xml:space="preserve">N° EINECS : 200-573-9</w:t>
      </w:r>
    </w:p>
    <w:p>
      <w:pPr>
        <w:pStyle w:val="FirstParagraph"/>
      </w:pPr>
      <w:r>
        <w:rPr>
          <w:b/>
          <w:bCs/>
        </w:rPr>
        <w:t xml:space="preserve">Concentration</w:t>
      </w:r>
      <w:r>
        <w:t xml:space="preserve"> </w:t>
      </w:r>
      <w:r>
        <w:t xml:space="preserve">:less or equal to 5.0</w:t>
      </w:r>
    </w:p>
    <w:p>
      <w:pPr>
        <w:pStyle w:val="BodyText"/>
      </w:pPr>
      <w:r>
        <w:rPr>
          <w:b/>
          <w:bCs/>
        </w:rPr>
        <w:t xml:space="preserve">Dangers</w:t>
      </w:r>
      <w:r>
        <w:t xml:space="preserve"> </w:t>
      </w:r>
      <w:r>
        <w:t xml:space="preserve">:</w:t>
      </w:r>
    </w:p>
    <w:p>
      <w:pPr>
        <w:numPr>
          <w:ilvl w:val="0"/>
          <w:numId w:val="1007"/>
        </w:numPr>
      </w:pPr>
      <w:r>
        <w:t xml:space="preserve">H302</w:t>
      </w:r>
      <w:r>
        <w:t xml:space="preserve"> </w:t>
      </w:r>
      <w:r>
        <w:t xml:space="preserve">Nocif en cas d’ingestion.</w:t>
      </w:r>
    </w:p>
    <w:p>
      <w:pPr>
        <w:numPr>
          <w:ilvl w:val="0"/>
          <w:numId w:val="1007"/>
        </w:numPr>
      </w:pPr>
      <w:r>
        <w:t xml:space="preserve">H318</w:t>
      </w:r>
      <w:r>
        <w:t xml:space="preserve"> </w:t>
      </w:r>
      <w:r>
        <w:t xml:space="preserve">Provoque des lésions oculaires graves.</w:t>
      </w:r>
    </w:p>
    <w:p>
      <w:pPr>
        <w:numPr>
          <w:ilvl w:val="0"/>
          <w:numId w:val="1007"/>
        </w:numPr>
      </w:pPr>
      <w:r>
        <w:t xml:space="preserve">H332</w:t>
      </w:r>
      <w:r>
        <w:t xml:space="preserve"> </w:t>
      </w:r>
      <w:r>
        <w:t xml:space="preserve">Nocif par inhalation.</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4" w:name="propriétés"/>
    <w:p>
      <w:pPr>
        <w:pStyle w:val="Heading4"/>
      </w:pPr>
      <w:r>
        <w:t xml:space="preserve">Propriétés</w:t>
      </w:r>
    </w:p>
    <w:p>
      <w:pPr>
        <w:pStyle w:val="FirstParagraph"/>
      </w:pPr>
      <w:hyperlink r:id="rId35">
        <w:r>
          <w:rPr>
            <w:rStyle w:val="Hyperlink"/>
            <w:color w:val="0856A0"/>
            <w:u w:val="single"/>
          </w:rPr>
          <w:t xml:space="preserve">Fiche n°276 - EDTA et sel tétrasodique</w:t>
        </w:r>
      </w:hyperlink>
    </w:p>
    <w:p>
      <w:pPr>
        <w:numPr>
          <w:ilvl w:val="0"/>
          <w:numId w:val="1008"/>
        </w:numPr>
      </w:pPr>
      <w:hyperlink r:id="rId36">
        <w:r>
          <w:rPr>
            <w:rStyle w:val="Hyperlink"/>
            <w:color w:val="0856A0"/>
            <w:u w:val="single"/>
          </w:rPr>
          <w:t xml:space="preserve">Généralités</w:t>
        </w:r>
      </w:hyperlink>
    </w:p>
    <w:p>
      <w:pPr>
        <w:numPr>
          <w:ilvl w:val="0"/>
          <w:numId w:val="1008"/>
        </w:numPr>
      </w:pPr>
      <w:hyperlink r:id="rId37">
        <w:r>
          <w:rPr>
            <w:rStyle w:val="Hyperlink"/>
            <w:color w:val="0856A0"/>
            <w:u w:val="single"/>
          </w:rPr>
          <w:t xml:space="preserve">Caractéristiques</w:t>
        </w:r>
      </w:hyperlink>
    </w:p>
    <w:p>
      <w:pPr>
        <w:numPr>
          <w:ilvl w:val="0"/>
          <w:numId w:val="1008"/>
        </w:numPr>
      </w:pPr>
      <w:hyperlink r:id="rId38">
        <w:r>
          <w:rPr>
            <w:rStyle w:val="Hyperlink"/>
            <w:color w:val="0856A0"/>
            <w:u w:val="single"/>
          </w:rPr>
          <w:t xml:space="preserve">VLEPMesurage</w:t>
        </w:r>
      </w:hyperlink>
    </w:p>
    <w:p>
      <w:pPr>
        <w:numPr>
          <w:ilvl w:val="0"/>
          <w:numId w:val="1008"/>
        </w:numPr>
      </w:pPr>
      <w:hyperlink r:id="rId39">
        <w:r>
          <w:rPr>
            <w:rStyle w:val="Hyperlink"/>
            <w:color w:val="0856A0"/>
            <w:u w:val="single"/>
          </w:rPr>
          <w:t xml:space="preserve">Incendie - Explosion[2, 8-10]</w:t>
        </w:r>
      </w:hyperlink>
    </w:p>
    <w:p>
      <w:pPr>
        <w:numPr>
          <w:ilvl w:val="0"/>
          <w:numId w:val="1008"/>
        </w:numPr>
      </w:pPr>
      <w:hyperlink r:id="rId40">
        <w:r>
          <w:rPr>
            <w:rStyle w:val="Hyperlink"/>
            <w:color w:val="0856A0"/>
            <w:u w:val="single"/>
          </w:rPr>
          <w:t xml:space="preserve">Pathologie - Toxicologie</w:t>
        </w:r>
      </w:hyperlink>
    </w:p>
    <w:p>
      <w:pPr>
        <w:numPr>
          <w:ilvl w:val="0"/>
          <w:numId w:val="1008"/>
        </w:numPr>
      </w:pPr>
      <w:hyperlink r:id="rId41">
        <w:r>
          <w:rPr>
            <w:rStyle w:val="Hyperlink"/>
            <w:color w:val="0856A0"/>
            <w:u w:val="single"/>
          </w:rPr>
          <w:t xml:space="preserve">Règlementation</w:t>
        </w:r>
      </w:hyperlink>
    </w:p>
    <w:p>
      <w:pPr>
        <w:numPr>
          <w:ilvl w:val="0"/>
          <w:numId w:val="1008"/>
        </w:numPr>
      </w:pPr>
      <w:hyperlink r:id="rId42">
        <w:r>
          <w:rPr>
            <w:rStyle w:val="Hyperlink"/>
            <w:color w:val="0856A0"/>
            <w:u w:val="single"/>
          </w:rPr>
          <w:t xml:space="preserve">Recommandations</w:t>
        </w:r>
      </w:hyperlink>
    </w:p>
    <w:p>
      <w:pPr>
        <w:numPr>
          <w:ilvl w:val="0"/>
          <w:numId w:val="1008"/>
        </w:numPr>
      </w:pPr>
      <w:hyperlink r:id="rId43">
        <w:r>
          <w:rPr>
            <w:rStyle w:val="Hyperlink"/>
            <w:color w:val="0856A0"/>
            <w:u w:val="single"/>
          </w:rPr>
          <w:t xml:space="preserve">Bibliographie</w:t>
        </w:r>
      </w:hyperlink>
    </w:p>
    <w:bookmarkEnd w:id="44"/>
    <w:bookmarkEnd w:id="45"/>
    <w:bookmarkStart w:id="47" w:name="trideceth-9"/>
    <w:p>
      <w:pPr>
        <w:pStyle w:val="Heading3"/>
      </w:pPr>
      <w:r>
        <w:t xml:space="preserve">TRIDECETH-9</w:t>
      </w:r>
    </w:p>
    <w:p>
      <w:pPr>
        <w:pStyle w:val="FirstParagraph"/>
      </w:pPr>
      <w:r>
        <w:rPr>
          <w:b/>
          <w:bCs/>
        </w:rPr>
        <w:t xml:space="preserve">Identification</w:t>
      </w:r>
    </w:p>
    <w:p>
      <w:pPr>
        <w:pStyle w:val="Compact"/>
        <w:numPr>
          <w:ilvl w:val="0"/>
          <w:numId w:val="1009"/>
        </w:numPr>
      </w:pPr>
      <w:r>
        <w:t xml:space="preserve">N° CAS : 69011-36-5</w:t>
      </w:r>
    </w:p>
    <w:p>
      <w:pPr>
        <w:pStyle w:val="Compact"/>
        <w:numPr>
          <w:ilvl w:val="0"/>
          <w:numId w:val="1009"/>
        </w:numPr>
      </w:pPr>
      <w:r>
        <w:t xml:space="preserve">N° EINECS : None</w:t>
      </w:r>
    </w:p>
    <w:p>
      <w:pPr>
        <w:pStyle w:val="FirstParagraph"/>
      </w:pPr>
      <w:r>
        <w:rPr>
          <w:b/>
          <w:bCs/>
        </w:rPr>
        <w:t xml:space="preserve">Concentration</w:t>
      </w:r>
      <w:r>
        <w:t xml:space="preserve"> </w:t>
      </w:r>
      <w:r>
        <w:t xml:space="preserve">:less or equal to 5.0</w:t>
      </w:r>
    </w:p>
    <w:p>
      <w:pPr>
        <w:pStyle w:val="BodyText"/>
      </w:pPr>
      <w:r>
        <w:rPr>
          <w:b/>
          <w:bCs/>
        </w:rPr>
        <w:t xml:space="preserve">Dangers</w:t>
      </w:r>
      <w:r>
        <w:t xml:space="preserve"> </w:t>
      </w:r>
      <w:r>
        <w:t xml:space="preserve">:</w:t>
      </w:r>
    </w:p>
    <w:p>
      <w:pPr>
        <w:numPr>
          <w:ilvl w:val="0"/>
          <w:numId w:val="1010"/>
        </w:numPr>
      </w:pPr>
      <w:r>
        <w:t xml:space="preserve">H302</w:t>
      </w:r>
      <w:r>
        <w:t xml:space="preserve"> </w:t>
      </w:r>
      <w:r>
        <w:t xml:space="preserve">Nocif en cas d’ingestion.</w:t>
      </w:r>
    </w:p>
    <w:p>
      <w:pPr>
        <w:numPr>
          <w:ilvl w:val="0"/>
          <w:numId w:val="1010"/>
        </w:numPr>
      </w:pPr>
      <w:r>
        <w:t xml:space="preserve">H318</w:t>
      </w:r>
      <w:r>
        <w:t xml:space="preserve"> </w:t>
      </w:r>
      <w:r>
        <w:t xml:space="preserve">Provoque des lésions oculaires graves.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6" w:name="propriétés-1"/>
    <w:p>
      <w:pPr>
        <w:pStyle w:val="Heading4"/>
      </w:pPr>
      <w:r>
        <w:t xml:space="preserve">Propriétés</w:t>
      </w:r>
    </w:p>
    <w:p>
      <w:pPr>
        <w:pStyle w:val="FirstParagraph"/>
      </w:pPr>
      <w:r>
        <w:t xml:space="preserve">Pas d’informations disponible.</w:t>
      </w:r>
    </w:p>
    <w:bookmarkEnd w:id="46"/>
    <w:bookmarkEnd w:id="47"/>
    <w:bookmarkStart w:id="49" w:name="propyl-heptanol-ethoxyle"/>
    <w:p>
      <w:pPr>
        <w:pStyle w:val="Heading3"/>
      </w:pPr>
      <w:r>
        <w:t xml:space="preserve">PROPYL HEPTANOL ETHOXYLE</w:t>
      </w:r>
    </w:p>
    <w:p>
      <w:pPr>
        <w:pStyle w:val="FirstParagraph"/>
      </w:pPr>
      <w:r>
        <w:rPr>
          <w:b/>
          <w:bCs/>
        </w:rPr>
        <w:t xml:space="preserve">Identification</w:t>
      </w:r>
    </w:p>
    <w:p>
      <w:pPr>
        <w:pStyle w:val="Compact"/>
        <w:numPr>
          <w:ilvl w:val="0"/>
          <w:numId w:val="1011"/>
        </w:numPr>
      </w:pPr>
      <w:r>
        <w:t xml:space="preserve">N° CAS : 160875-66-1</w:t>
      </w:r>
    </w:p>
    <w:p>
      <w:pPr>
        <w:pStyle w:val="Compact"/>
        <w:numPr>
          <w:ilvl w:val="0"/>
          <w:numId w:val="1011"/>
        </w:numPr>
      </w:pPr>
      <w:r>
        <w:t xml:space="preserve">N° EINECS : None</w:t>
      </w:r>
    </w:p>
    <w:p>
      <w:pPr>
        <w:pStyle w:val="FirstParagraph"/>
      </w:pPr>
      <w:r>
        <w:rPr>
          <w:b/>
          <w:bCs/>
        </w:rPr>
        <w:t xml:space="preserve">Concentration</w:t>
      </w:r>
      <w:r>
        <w:t xml:space="preserve"> </w:t>
      </w:r>
      <w:r>
        <w:t xml:space="preserve">:less or equal to 5.0</w:t>
      </w:r>
    </w:p>
    <w:p>
      <w:pPr>
        <w:pStyle w:val="BodyText"/>
      </w:pPr>
      <w:r>
        <w:rPr>
          <w:b/>
          <w:bCs/>
        </w:rPr>
        <w:t xml:space="preserve">Dangers</w:t>
      </w:r>
      <w:r>
        <w:t xml:space="preserve"> </w:t>
      </w:r>
      <w:r>
        <w:t xml:space="preserve">:</w:t>
      </w:r>
    </w:p>
    <w:p>
      <w:pPr>
        <w:pStyle w:val="Compact"/>
        <w:numPr>
          <w:ilvl w:val="0"/>
          <w:numId w:val="1012"/>
        </w:numPr>
      </w:pPr>
      <w:r>
        <w:t xml:space="preserve">H318</w:t>
      </w:r>
      <w:r>
        <w:t xml:space="preserve"> </w:t>
      </w:r>
      <w:r>
        <w:t xml:space="preserve">Provoque des lésions oculaires graves.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8" w:name="propriétés-2"/>
    <w:p>
      <w:pPr>
        <w:pStyle w:val="Heading4"/>
      </w:pPr>
      <w:r>
        <w:t xml:space="preserve">Propriétés</w:t>
      </w:r>
    </w:p>
    <w:p>
      <w:pPr>
        <w:pStyle w:val="FirstParagraph"/>
      </w:pPr>
      <w:r>
        <w:t xml:space="preserve">Pas d’informations disponible.</w:t>
      </w:r>
    </w:p>
    <w:bookmarkEnd w:id="48"/>
    <w:bookmarkEnd w:id="49"/>
    <w:bookmarkStart w:id="51" w:name="trideceth-12"/>
    <w:p>
      <w:pPr>
        <w:pStyle w:val="Heading3"/>
      </w:pPr>
      <w:r>
        <w:t xml:space="preserve">TRIDECETH-12</w:t>
      </w:r>
    </w:p>
    <w:p>
      <w:pPr>
        <w:pStyle w:val="FirstParagraph"/>
      </w:pPr>
      <w:r>
        <w:rPr>
          <w:b/>
          <w:bCs/>
        </w:rPr>
        <w:t xml:space="preserve">Identification</w:t>
      </w:r>
    </w:p>
    <w:p>
      <w:pPr>
        <w:pStyle w:val="Compact"/>
        <w:numPr>
          <w:ilvl w:val="0"/>
          <w:numId w:val="1013"/>
        </w:numPr>
      </w:pPr>
      <w:r>
        <w:t xml:space="preserve">N° CAS : 69011-36-5</w:t>
      </w:r>
    </w:p>
    <w:p>
      <w:pPr>
        <w:pStyle w:val="Compact"/>
        <w:numPr>
          <w:ilvl w:val="0"/>
          <w:numId w:val="1013"/>
        </w:numPr>
      </w:pPr>
      <w:r>
        <w:t xml:space="preserve">N° EINECS : None</w:t>
      </w:r>
    </w:p>
    <w:p>
      <w:pPr>
        <w:pStyle w:val="FirstParagraph"/>
      </w:pPr>
      <w:r>
        <w:rPr>
          <w:b/>
          <w:bCs/>
        </w:rPr>
        <w:t xml:space="preserve">Concentration</w:t>
      </w:r>
      <w:r>
        <w:t xml:space="preserve"> </w:t>
      </w:r>
      <w:r>
        <w:t xml:space="preserve">:less or equal to 5.0</w:t>
      </w:r>
    </w:p>
    <w:p>
      <w:pPr>
        <w:pStyle w:val="BodyText"/>
      </w:pPr>
      <w:r>
        <w:rPr>
          <w:b/>
          <w:bCs/>
        </w:rPr>
        <w:t xml:space="preserve">Dangers</w:t>
      </w:r>
      <w:r>
        <w:t xml:space="preserve"> </w:t>
      </w:r>
      <w:r>
        <w:t xml:space="preserve">:</w:t>
      </w:r>
    </w:p>
    <w:p>
      <w:pPr>
        <w:numPr>
          <w:ilvl w:val="0"/>
          <w:numId w:val="1014"/>
        </w:numPr>
      </w:pPr>
      <w:r>
        <w:t xml:space="preserve">H302</w:t>
      </w:r>
      <w:r>
        <w:t xml:space="preserve"> </w:t>
      </w:r>
      <w:r>
        <w:t xml:space="preserve">Nocif en cas d’ingestion.</w:t>
      </w:r>
    </w:p>
    <w:p>
      <w:pPr>
        <w:numPr>
          <w:ilvl w:val="0"/>
          <w:numId w:val="1014"/>
        </w:numPr>
      </w:pPr>
      <w:r>
        <w:t xml:space="preserve">H318</w:t>
      </w:r>
      <w:r>
        <w:t xml:space="preserve"> </w:t>
      </w:r>
      <w:r>
        <w:t xml:space="preserve">Provoque des lésions oculaires graves.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50" w:name="propriétés-3"/>
    <w:p>
      <w:pPr>
        <w:pStyle w:val="Heading4"/>
      </w:pPr>
      <w:r>
        <w:t xml:space="preserve">Propriétés</w:t>
      </w:r>
    </w:p>
    <w:p>
      <w:pPr>
        <w:pStyle w:val="FirstParagraph"/>
      </w:pPr>
      <w:r>
        <w:t xml:space="preserve">Pas d’informations disponible.</w:t>
      </w:r>
    </w:p>
    <w:bookmarkEnd w:id="50"/>
    <w:bookmarkEnd w:id="51"/>
    <w:bookmarkEnd w:id="52"/>
    <w:bookmarkStart w:id="53"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Gants résistant aux solutions alcalines Le document indique uniquement que les gants doivent être résistants aux solutions alcalines. Aucun détail sur le matériau exact, l’épaisseur, le temps de pénétration ou d’autres critères de qualité n’est fourni.</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Lunettes / écrans faciaux Lunettes de sécurité hermétiques avec protection latérales Aucun détail supplémentaire (matériau, épaisseur, type de verre, etc.) n’est mentionné.</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 Aucune information n’est fournie concernant les masques respiratoires, filtres ou autres équipements de protection respiratoire.</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Vêtements de protection / combinaisons Vêtements de travail protecteurs Le document mentionne simplement que des vêtements de travail protecteurs doivent être portés. Aucun détail sur le type de tissu, la résistance chimique, la coupe, l’épaisseur ou d’autres spécifications n’est donné.</w:t>
            </w:r>
          </w:p>
        </w:tc>
      </w:tr>
    </w:tbl>
    <w:bookmarkEnd w:id="53"/>
    <w:bookmarkStart w:id="54"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 Ne pas manger, ne pas boire et ne pas fumer pendant la manipulation du produit. - Conserver le produit à l’écart des aliments et des boissons. - Ne pas diluer ou transvaser dans un flacon ou emballage alimentaire. - En cas de nécessité de transvasement, s’assurer de la compatibilité du produit et l’identifier (étiquetage de danger).</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 Conserver le produit dans son emballage d’origine fermé. - Protéger contre le gel. - Stocker à l’écart des acides. - Tenir les emballages hermétiquement fermés lorsqu’ils ne sont pas utilisés. - Température de stockage recommandée : de +5 °C à +40 °C. - Toujours conserver dans des emballages d’un matériau identique à celui d’origine. Incompatibilités à éviter : - Acides forts - Oxydants forts</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Lessive de dégraissage spéciale fontaine.</w:t>
            </w:r>
          </w:p>
        </w:tc>
      </w:tr>
    </w:tbl>
    <w:bookmarkEnd w:id="54"/>
    <w:bookmarkEnd w:id="55"/>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6148BD"/>
    <w:rsid w:val="00666DED"/>
    <w:rsid w:val="008165A3"/>
    <w:rsid w:val="00860E1D"/>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23" Type="http://schemas.openxmlformats.org/officeDocument/2006/relationships/image" Target="media/rId23.png"/><Relationship Id="rId20" Type="http://schemas.openxmlformats.org/officeDocument/2006/relationships/image" Target="media/rId20.png"/><Relationship Id="rId35" Type="http://schemas.openxmlformats.org/officeDocument/2006/relationships/hyperlink" Target="https://www.inrs.fr/publications/bdd/fichetox/fiche.html?refINRS=FICHETOX_276" TargetMode="External"/><Relationship Id="rId38" Type="http://schemas.openxmlformats.org/officeDocument/2006/relationships/hyperlink" Target="https://www.inrs.fr/publications/bdd/fichetox/fiche.html?refINRS=FICHETOX_276&amp;section=VLEPMesurage" TargetMode="External"/><Relationship Id="rId43" Type="http://schemas.openxmlformats.org/officeDocument/2006/relationships/hyperlink" Target="https://www.inrs.fr/publications/bdd/fichetox/fiche.html?refINRS=FICHETOX_276&amp;section=bibliographieAuteurs" TargetMode="External"/><Relationship Id="rId37" Type="http://schemas.openxmlformats.org/officeDocument/2006/relationships/hyperlink" Target="https://www.inrs.fr/publications/bdd/fichetox/fiche.html?refINRS=FICHETOX_276&amp;section=caracteristiques" TargetMode="External"/><Relationship Id="rId36" Type="http://schemas.openxmlformats.org/officeDocument/2006/relationships/hyperlink" Target="https://www.inrs.fr/publications/bdd/fichetox/fiche.html?refINRS=FICHETOX_276&amp;section=generalites" TargetMode="External"/><Relationship Id="rId39" Type="http://schemas.openxmlformats.org/officeDocument/2006/relationships/hyperlink" Target="https://www.inrs.fr/publications/bdd/fichetox/fiche.html?refINRS=FICHETOX_276&amp;section=incendieExplosion" TargetMode="External"/><Relationship Id="rId40" Type="http://schemas.openxmlformats.org/officeDocument/2006/relationships/hyperlink" Target="https://www.inrs.fr/publications/bdd/fichetox/fiche.html?refINRS=FICHETOX_276&amp;section=pathologieToxicologie" TargetMode="External"/><Relationship Id="rId42" Type="http://schemas.openxmlformats.org/officeDocument/2006/relationships/hyperlink" Target="https://www.inrs.fr/publications/bdd/fichetox/fiche.html?refINRS=FICHETOX_276&amp;section=recommandations" TargetMode="External"/><Relationship Id="rId41" Type="http://schemas.openxmlformats.org/officeDocument/2006/relationships/hyperlink" Target="https://www.inrs.fr/publications/bdd/fichetox/fiche.html?refINRS=FICHETOX_276&amp;section=reglementation" TargetMode="External"/></Relationships>
</file>

<file path=word/_rels/footnotes.xml.rels><?xml version='1.0' encoding='UTF-8' standalone='yes'?>
<Relationships xmlns="http://schemas.openxmlformats.org/package/2006/relationships"><Relationship Id="rId35" Type="http://schemas.openxmlformats.org/officeDocument/2006/relationships/hyperlink" Target="https://www.inrs.fr/publications/bdd/fichetox/fiche.html?refINRS=FICHETOX_276" TargetMode="External"/><Relationship Id="rId38" Type="http://schemas.openxmlformats.org/officeDocument/2006/relationships/hyperlink" Target="https://www.inrs.fr/publications/bdd/fichetox/fiche.html?refINRS=FICHETOX_276&amp;section=VLEPMesurage" TargetMode="External"/><Relationship Id="rId43" Type="http://schemas.openxmlformats.org/officeDocument/2006/relationships/hyperlink" Target="https://www.inrs.fr/publications/bdd/fichetox/fiche.html?refINRS=FICHETOX_276&amp;section=bibliographieAuteurs" TargetMode="External"/><Relationship Id="rId37" Type="http://schemas.openxmlformats.org/officeDocument/2006/relationships/hyperlink" Target="https://www.inrs.fr/publications/bdd/fichetox/fiche.html?refINRS=FICHETOX_276&amp;section=caracteristiques" TargetMode="External"/><Relationship Id="rId36" Type="http://schemas.openxmlformats.org/officeDocument/2006/relationships/hyperlink" Target="https://www.inrs.fr/publications/bdd/fichetox/fiche.html?refINRS=FICHETOX_276&amp;section=generalites" TargetMode="External"/><Relationship Id="rId39" Type="http://schemas.openxmlformats.org/officeDocument/2006/relationships/hyperlink" Target="https://www.inrs.fr/publications/bdd/fichetox/fiche.html?refINRS=FICHETOX_276&amp;section=incendieExplosion" TargetMode="External"/><Relationship Id="rId40" Type="http://schemas.openxmlformats.org/officeDocument/2006/relationships/hyperlink" Target="https://www.inrs.fr/publications/bdd/fichetox/fiche.html?refINRS=FICHETOX_276&amp;section=pathologieToxicologie" TargetMode="External"/><Relationship Id="rId42" Type="http://schemas.openxmlformats.org/officeDocument/2006/relationships/hyperlink" Target="https://www.inrs.fr/publications/bdd/fichetox/fiche.html?refINRS=FICHETOX_276&amp;section=recommandations" TargetMode="External"/><Relationship Id="rId41" Type="http://schemas.openxmlformats.org/officeDocument/2006/relationships/hyperlink" Target="https://www.inrs.fr/publications/bdd/fichetox/fiche.html?refINRS=FICHETOX_276&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Words>
  <Characters>129</Characters>
  <Application>Microsoft Office Word</Application>
  <DocSecurity>0</DocSecurity>
  <Lines>11</Lines>
  <Paragraphs>13</Paragraphs>
  <ScaleCrop>false</ScaleCrop>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2026-04-01T13:51:28Z</dcterms:created>
  <dcterms:modified xsi:type="dcterms:W3CDTF">2026-04-01T13:51:28Z</dcterms:modified>
</cp:coreProperties>
</file>

<file path=docProps/custom.xml><?xml version="1.0" encoding="utf-8"?>
<Properties xmlns="http://schemas.openxmlformats.org/officeDocument/2006/custom-properties" xmlns:vt="http://schemas.openxmlformats.org/officeDocument/2006/docPropsVTypes"/>
</file>