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aspir-odeur-marine_fds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IPC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aspir-odeur-marine_fds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7" w:name="X6f1ace89da036cba293107120e745cafc4da45e"/>
    <w:p>
      <w:pPr>
        <w:pStyle w:val="Heading1"/>
      </w:pPr>
      <w:r>
        <w:t xml:space="preserve">Analyse des dangers : aspir-odeur-marine_fds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aspir-odeur-marine_fds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IPC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solide / gel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applicable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Absorbeur et destructeur d’odeurs.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2018-09-03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2018-09-03. Elle a donc 7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numPr>
          <w:ilvl w:val="0"/>
          <w:numId w:val="1003"/>
        </w:numPr>
      </w:pPr>
      <w:r>
        <w:t xml:space="preserve">EUH208</w:t>
      </w:r>
      <w:r>
        <w:t xml:space="preserve"> </w:t>
      </w:r>
      <w:r>
        <w:t xml:space="preserve">Contient (nom de la substance sensibilisante). Peut produire une réaction allergique.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P101</w:t>
      </w:r>
      <w:r>
        <w:t xml:space="preserve"> </w:t>
      </w:r>
      <w:r>
        <w:t xml:space="preserve">En cas de consultation d’un médecin, garder à disposition le récipient ou l’étiquette.</w:t>
      </w:r>
    </w:p>
    <w:p>
      <w:pPr>
        <w:numPr>
          <w:ilvl w:val="0"/>
          <w:numId w:val="1004"/>
        </w:numPr>
      </w:pPr>
      <w:r>
        <w:t xml:space="preserve">P102</w:t>
      </w:r>
      <w:r>
        <w:t xml:space="preserve"> </w:t>
      </w:r>
      <w:r>
        <w:t xml:space="preserve">Tenir hors de portée des enfants.</w:t>
      </w:r>
    </w:p>
    <w:p>
      <w:pPr>
        <w:numPr>
          <w:ilvl w:val="0"/>
          <w:numId w:val="1004"/>
        </w:numPr>
      </w:pPr>
      <w:r>
        <w:t xml:space="preserve">P273</w:t>
      </w:r>
      <w:r>
        <w:t xml:space="preserve"> </w:t>
      </w:r>
      <w:r>
        <w:t xml:space="preserve">Éviter le rejet dans l’environnement.</w:t>
      </w:r>
    </w:p>
    <w:p>
      <w:pPr>
        <w:numPr>
          <w:ilvl w:val="0"/>
          <w:numId w:val="1004"/>
        </w:numPr>
      </w:pPr>
      <w:r>
        <w:t xml:space="preserve">P301+P312</w:t>
      </w:r>
      <w:r>
        <w:t xml:space="preserve"> </w:t>
      </w:r>
      <w:r>
        <w:t xml:space="preserve">EN CAS D’INGESTION: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pas disponible</w:t>
      </w:r>
    </w:p>
    <w:p>
      <w:pPr>
        <w:pStyle w:val="Compact"/>
        <w:numPr>
          <w:ilvl w:val="0"/>
          <w:numId w:val="1005"/>
        </w:numPr>
      </w:pPr>
      <w:r>
        <w:t xml:space="preserve">RID : pas disponible</w:t>
      </w:r>
    </w:p>
    <w:p>
      <w:pPr>
        <w:pStyle w:val="Compact"/>
        <w:numPr>
          <w:ilvl w:val="0"/>
          <w:numId w:val="1005"/>
        </w:numPr>
      </w:pPr>
      <w:r>
        <w:t xml:space="preserve">ADN : pas disponible</w:t>
      </w:r>
    </w:p>
    <w:p>
      <w:pPr>
        <w:pStyle w:val="Compact"/>
        <w:numPr>
          <w:ilvl w:val="0"/>
          <w:numId w:val="1005"/>
        </w:numPr>
      </w:pPr>
      <w:r>
        <w:t xml:space="preserve">IMDG : pas disponible</w:t>
      </w:r>
    </w:p>
    <w:p>
      <w:pPr>
        <w:pStyle w:val="Compact"/>
        <w:numPr>
          <w:ilvl w:val="0"/>
          <w:numId w:val="1005"/>
        </w:numPr>
      </w:pPr>
      <w:r>
        <w:t xml:space="preserve">IATA : pas disponible</w:t>
      </w:r>
    </w:p>
    <w:p>
      <w:pPr>
        <w:pStyle w:val="Compact"/>
        <w:numPr>
          <w:ilvl w:val="0"/>
          <w:numId w:val="1005"/>
        </w:numPr>
      </w:pPr>
      <w:r>
        <w:t xml:space="preserve">UN : pas disponible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En règle générale, le produit n’imite pas la peau ; aucune action particulière n’est requise.</w:t>
      </w:r>
    </w:p>
    <w:p>
      <w:pPr>
        <w:pStyle w:val="BodyText"/>
      </w:pPr>
      <w:r>
        <w:t xml:space="preserve">eyes : Rincer abondamment les yeux à l’eau courante pendant plusieurs minutes, en écartant bien les paupières.</w:t>
      </w:r>
    </w:p>
    <w:p>
      <w:pPr>
        <w:pStyle w:val="BodyText"/>
      </w:pPr>
      <w:r>
        <w:t xml:space="preserve">ingestion : Consulter immédiatement un médecin.</w:t>
      </w:r>
    </w:p>
    <w:p>
      <w:pPr>
        <w:pStyle w:val="BodyText"/>
      </w:pPr>
      <w:r>
        <w:t xml:space="preserve">inhalation : Donner de l’air frais. Si des troubles apparaissent, consulter un médecin.</w:t>
      </w:r>
    </w:p>
    <w:p>
      <w:r>
        <w:br w:type="page"/>
      </w:r>
    </w:p>
    <w:bookmarkEnd w:id="31"/>
    <w:bookmarkStart w:id="54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2" w:name="ethanol"/>
    <w:p>
      <w:pPr>
        <w:pStyle w:val="Heading3"/>
      </w:pPr>
      <w:r>
        <w:t xml:space="preserve">Ethanol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64-17-5</w:t>
      </w:r>
    </w:p>
    <w:p>
      <w:pPr>
        <w:pStyle w:val="Compact"/>
        <w:numPr>
          <w:ilvl w:val="0"/>
          <w:numId w:val="1006"/>
        </w:numPr>
      </w:pPr>
      <w:r>
        <w:t xml:space="preserve">N° EINECS : 200-578-6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7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1000.0 - VLE-8h (mg/m³) : 1907.0</w:t>
            </w:r>
          </w:p>
        </w:tc>
      </w:tr>
    </w:tbl>
    <w:bookmarkStart w:id="41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2">
        <w:r>
          <w:rPr>
            <w:rStyle w:val="Hyperlink"/>
            <w:color w:val="0856A0"/>
            <w:u w:val="single"/>
          </w:rPr>
          <w:t xml:space="preserve">Fiche n°48 - Éthanol</w:t>
        </w:r>
      </w:hyperlink>
    </w:p>
    <w:p>
      <w:pPr>
        <w:numPr>
          <w:ilvl w:val="0"/>
          <w:numId w:val="1008"/>
        </w:numPr>
      </w:pPr>
      <w:hyperlink r:id="rId33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8"/>
        </w:numPr>
      </w:pPr>
      <w:hyperlink r:id="rId34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8"/>
        </w:numPr>
      </w:pPr>
      <w:hyperlink r:id="rId35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8"/>
        </w:numPr>
      </w:pPr>
      <w:hyperlink r:id="rId36">
        <w:r>
          <w:rPr>
            <w:rStyle w:val="Hyperlink"/>
            <w:color w:val="0856A0"/>
            <w:u w:val="single"/>
          </w:rPr>
          <w:t xml:space="preserve">Incendie - Explosion[2, 9, 17-19]</w:t>
        </w:r>
      </w:hyperlink>
    </w:p>
    <w:p>
      <w:pPr>
        <w:numPr>
          <w:ilvl w:val="0"/>
          <w:numId w:val="1008"/>
        </w:numPr>
      </w:pPr>
      <w:hyperlink r:id="rId37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8"/>
        </w:numPr>
      </w:pPr>
      <w:hyperlink r:id="rId38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8"/>
        </w:numPr>
      </w:pPr>
      <w:hyperlink r:id="rId39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8"/>
        </w:numPr>
      </w:pPr>
      <w:hyperlink r:id="rId40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1"/>
    <w:bookmarkEnd w:id="42"/>
    <w:bookmarkStart w:id="53" w:name="r-p-mentha-18-diene-d-limonene"/>
    <w:p>
      <w:pPr>
        <w:pStyle w:val="Heading3"/>
      </w:pPr>
      <w:r>
        <w:t xml:space="preserve">(R)-P-MENTHA-1,8-DIENE (D-LIMONENE)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5989-27-5</w:t>
      </w:r>
    </w:p>
    <w:p>
      <w:pPr>
        <w:pStyle w:val="Compact"/>
        <w:numPr>
          <w:ilvl w:val="0"/>
          <w:numId w:val="1009"/>
        </w:numPr>
      </w:pPr>
      <w:r>
        <w:t xml:space="preserve">N° EINECS : 227-813-5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10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10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0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10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10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2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3">
        <w:r>
          <w:rPr>
            <w:rStyle w:val="Hyperlink"/>
            <w:color w:val="0856A0"/>
            <w:u w:val="single"/>
          </w:rPr>
          <w:t xml:space="preserve">Fiche n°227 - Dipentène</w:t>
        </w:r>
      </w:hyperlink>
    </w:p>
    <w:p>
      <w:pPr>
        <w:numPr>
          <w:ilvl w:val="0"/>
          <w:numId w:val="1011"/>
        </w:numPr>
      </w:pPr>
      <w:hyperlink r:id="rId44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1"/>
        </w:numPr>
      </w:pPr>
      <w:hyperlink r:id="rId45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1"/>
        </w:numPr>
      </w:pPr>
      <w:hyperlink r:id="rId46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1"/>
        </w:numPr>
      </w:pPr>
      <w:hyperlink r:id="rId47">
        <w:r>
          <w:rPr>
            <w:rStyle w:val="Hyperlink"/>
            <w:color w:val="0856A0"/>
            <w:u w:val="single"/>
          </w:rPr>
          <w:t xml:space="preserve">Incendie - Explosion[10-12]</w:t>
        </w:r>
      </w:hyperlink>
    </w:p>
    <w:p>
      <w:pPr>
        <w:numPr>
          <w:ilvl w:val="0"/>
          <w:numId w:val="1011"/>
        </w:numPr>
      </w:pPr>
      <w:hyperlink r:id="rId48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1"/>
        </w:numPr>
      </w:pPr>
      <w:hyperlink r:id="rId49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1"/>
        </w:numPr>
      </w:pPr>
      <w:hyperlink r:id="rId50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1"/>
        </w:numPr>
      </w:pPr>
      <w:hyperlink r:id="rId51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2"/>
    <w:bookmarkEnd w:id="53"/>
    <w:bookmarkEnd w:id="54"/>
    <w:bookmarkStart w:id="55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 : caoutchouc nitrile.</w:t>
            </w:r>
            <w:r>
              <w:rPr>
                <w:sz w:val="20"/>
                <w:szCs w:val="20"/>
              </w:rPr>
              <w:t xml:space="preserve">• Caractéristiques : imperméable et résistant au produit/à la substance/à la préparation.</w:t>
            </w:r>
            <w:r>
              <w:rPr>
                <w:sz w:val="20"/>
                <w:szCs w:val="20"/>
              </w:rPr>
              <w:t xml:space="preserve">• Temps de pénétration : à déterminer par le fabricant des gants de protection et à respecter.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oculaire N’est pas nécessaire. Aucun besoin de lunettes ou d’écran facial.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 : caoutchouc nitrile.</w:t>
            </w:r>
            <w:r>
              <w:rPr>
                <w:sz w:val="20"/>
                <w:szCs w:val="20"/>
              </w:rPr>
              <w:t xml:space="preserve">• Caractéristiques : imperméable et résistant au produit/à la substance/à la préparation.</w:t>
            </w:r>
            <w:r>
              <w:rPr>
                <w:sz w:val="20"/>
                <w:szCs w:val="20"/>
              </w:rPr>
              <w:t xml:space="preserve">• Temps de pénétration : à déterminer par le fabricant des gants de protection et à respecter.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voies respiratoires N’est pas nécessaire. Aucun masque ou filtre n’est requis.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Aucun vêtement de protection ou combinaison n’est requis.</w:t>
            </w:r>
          </w:p>
        </w:tc>
      </w:tr>
    </w:tbl>
    <w:bookmarkEnd w:id="55"/>
    <w:bookmarkStart w:id="56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Aucune mesure particulière n’est nécessaire en cas de bonne utilisation.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Stocker dans un endroit frais. - Ne pas stocker avec les aliments. - Tenir les emballages hermétiquement fermés. - Protéger de la forte chaleur et du rayonnement direct du soleil.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Absorbeur et destructeur d’odeurs.</w:t>
            </w:r>
          </w:p>
        </w:tc>
      </w:tr>
    </w:tbl>
    <w:bookmarkEnd w:id="56"/>
    <w:bookmarkEnd w:id="57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43" Type="http://schemas.openxmlformats.org/officeDocument/2006/relationships/hyperlink" Target="https://www.inrs.fr/publications/bdd/fichetox/fiche.html?refINRS=FICHETOX_227" TargetMode="External"/><Relationship Id="rId46" Type="http://schemas.openxmlformats.org/officeDocument/2006/relationships/hyperlink" Target="https://www.inrs.fr/publications/bdd/fichetox/fiche.html?refINRS=FICHETOX_227&amp;section=VLEPMesurage" TargetMode="External"/><Relationship Id="rId51" Type="http://schemas.openxmlformats.org/officeDocument/2006/relationships/hyperlink" Target="https://www.inrs.fr/publications/bdd/fichetox/fiche.html?refINRS=FICHETOX_227&amp;section=bibliographieAuteurs" TargetMode="External"/><Relationship Id="rId45" Type="http://schemas.openxmlformats.org/officeDocument/2006/relationships/hyperlink" Target="https://www.inrs.fr/publications/bdd/fichetox/fiche.html?refINRS=FICHETOX_227&amp;section=caracteristiques" TargetMode="External"/><Relationship Id="rId44" Type="http://schemas.openxmlformats.org/officeDocument/2006/relationships/hyperlink" Target="https://www.inrs.fr/publications/bdd/fichetox/fiche.html?refINRS=FICHETOX_227&amp;section=generalites" TargetMode="External"/><Relationship Id="rId47" Type="http://schemas.openxmlformats.org/officeDocument/2006/relationships/hyperlink" Target="https://www.inrs.fr/publications/bdd/fichetox/fiche.html?refINRS=FICHETOX_227&amp;section=incendieExplosion" TargetMode="External"/><Relationship Id="rId48" Type="http://schemas.openxmlformats.org/officeDocument/2006/relationships/hyperlink" Target="https://www.inrs.fr/publications/bdd/fichetox/fiche.html?refINRS=FICHETOX_227&amp;section=pathologieToxicologie" TargetMode="External"/><Relationship Id="rId50" Type="http://schemas.openxmlformats.org/officeDocument/2006/relationships/hyperlink" Target="https://www.inrs.fr/publications/bdd/fichetox/fiche.html?refINRS=FICHETOX_227&amp;section=recommandations" TargetMode="External"/><Relationship Id="rId49" Type="http://schemas.openxmlformats.org/officeDocument/2006/relationships/hyperlink" Target="https://www.inrs.fr/publications/bdd/fichetox/fiche.html?refINRS=FICHETOX_227&amp;section=reglementation" TargetMode="External"/><Relationship Id="rId32" Type="http://schemas.openxmlformats.org/officeDocument/2006/relationships/hyperlink" Target="https://www.inrs.fr/publications/bdd/fichetox/fiche.html?refINRS=FICHETOX_48" TargetMode="External"/><Relationship Id="rId35" Type="http://schemas.openxmlformats.org/officeDocument/2006/relationships/hyperlink" Target="https://www.inrs.fr/publications/bdd/fichetox/fiche.html?refINRS=FICHETOX_48&amp;section=VLEPMesurage" TargetMode="External"/><Relationship Id="rId40" Type="http://schemas.openxmlformats.org/officeDocument/2006/relationships/hyperlink" Target="https://www.inrs.fr/publications/bdd/fichetox/fiche.html?refINRS=FICHETOX_48&amp;section=bibliographieAuteurs" TargetMode="External"/><Relationship Id="rId34" Type="http://schemas.openxmlformats.org/officeDocument/2006/relationships/hyperlink" Target="https://www.inrs.fr/publications/bdd/fichetox/fiche.html?refINRS=FICHETOX_48&amp;section=caracteristiques" TargetMode="External"/><Relationship Id="rId33" Type="http://schemas.openxmlformats.org/officeDocument/2006/relationships/hyperlink" Target="https://www.inrs.fr/publications/bdd/fichetox/fiche.html?refINRS=FICHETOX_48&amp;section=generalites" TargetMode="External"/><Relationship Id="rId36" Type="http://schemas.openxmlformats.org/officeDocument/2006/relationships/hyperlink" Target="https://www.inrs.fr/publications/bdd/fichetox/fiche.html?refINRS=FICHETOX_48&amp;section=incendieExplosion" TargetMode="External"/><Relationship Id="rId37" Type="http://schemas.openxmlformats.org/officeDocument/2006/relationships/hyperlink" Target="https://www.inrs.fr/publications/bdd/fichetox/fiche.html?refINRS=FICHETOX_48&amp;section=pathologieToxicologie" TargetMode="External"/><Relationship Id="rId39" Type="http://schemas.openxmlformats.org/officeDocument/2006/relationships/hyperlink" Target="https://www.inrs.fr/publications/bdd/fichetox/fiche.html?refINRS=FICHETOX_48&amp;section=recommandations" TargetMode="External"/><Relationship Id="rId38" Type="http://schemas.openxmlformats.org/officeDocument/2006/relationships/hyperlink" Target="https://www.inrs.fr/publications/bdd/fichetox/fiche.html?refINRS=FICHETOX_48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43" Type="http://schemas.openxmlformats.org/officeDocument/2006/relationships/hyperlink" Target="https://www.inrs.fr/publications/bdd/fichetox/fiche.html?refINRS=FICHETOX_227" TargetMode="External"/><Relationship Id="rId46" Type="http://schemas.openxmlformats.org/officeDocument/2006/relationships/hyperlink" Target="https://www.inrs.fr/publications/bdd/fichetox/fiche.html?refINRS=FICHETOX_227&amp;section=VLEPMesurage" TargetMode="External"/><Relationship Id="rId51" Type="http://schemas.openxmlformats.org/officeDocument/2006/relationships/hyperlink" Target="https://www.inrs.fr/publications/bdd/fichetox/fiche.html?refINRS=FICHETOX_227&amp;section=bibliographieAuteurs" TargetMode="External"/><Relationship Id="rId45" Type="http://schemas.openxmlformats.org/officeDocument/2006/relationships/hyperlink" Target="https://www.inrs.fr/publications/bdd/fichetox/fiche.html?refINRS=FICHETOX_227&amp;section=caracteristiques" TargetMode="External"/><Relationship Id="rId44" Type="http://schemas.openxmlformats.org/officeDocument/2006/relationships/hyperlink" Target="https://www.inrs.fr/publications/bdd/fichetox/fiche.html?refINRS=FICHETOX_227&amp;section=generalites" TargetMode="External"/><Relationship Id="rId47" Type="http://schemas.openxmlformats.org/officeDocument/2006/relationships/hyperlink" Target="https://www.inrs.fr/publications/bdd/fichetox/fiche.html?refINRS=FICHETOX_227&amp;section=incendieExplosion" TargetMode="External"/><Relationship Id="rId48" Type="http://schemas.openxmlformats.org/officeDocument/2006/relationships/hyperlink" Target="https://www.inrs.fr/publications/bdd/fichetox/fiche.html?refINRS=FICHETOX_227&amp;section=pathologieToxicologie" TargetMode="External"/><Relationship Id="rId50" Type="http://schemas.openxmlformats.org/officeDocument/2006/relationships/hyperlink" Target="https://www.inrs.fr/publications/bdd/fichetox/fiche.html?refINRS=FICHETOX_227&amp;section=recommandations" TargetMode="External"/><Relationship Id="rId49" Type="http://schemas.openxmlformats.org/officeDocument/2006/relationships/hyperlink" Target="https://www.inrs.fr/publications/bdd/fichetox/fiche.html?refINRS=FICHETOX_227&amp;section=reglementation" TargetMode="External"/><Relationship Id="rId32" Type="http://schemas.openxmlformats.org/officeDocument/2006/relationships/hyperlink" Target="https://www.inrs.fr/publications/bdd/fichetox/fiche.html?refINRS=FICHETOX_48" TargetMode="External"/><Relationship Id="rId35" Type="http://schemas.openxmlformats.org/officeDocument/2006/relationships/hyperlink" Target="https://www.inrs.fr/publications/bdd/fichetox/fiche.html?refINRS=FICHETOX_48&amp;section=VLEPMesurage" TargetMode="External"/><Relationship Id="rId40" Type="http://schemas.openxmlformats.org/officeDocument/2006/relationships/hyperlink" Target="https://www.inrs.fr/publications/bdd/fichetox/fiche.html?refINRS=FICHETOX_48&amp;section=bibliographieAuteurs" TargetMode="External"/><Relationship Id="rId34" Type="http://schemas.openxmlformats.org/officeDocument/2006/relationships/hyperlink" Target="https://www.inrs.fr/publications/bdd/fichetox/fiche.html?refINRS=FICHETOX_48&amp;section=caracteristiques" TargetMode="External"/><Relationship Id="rId33" Type="http://schemas.openxmlformats.org/officeDocument/2006/relationships/hyperlink" Target="https://www.inrs.fr/publications/bdd/fichetox/fiche.html?refINRS=FICHETOX_48&amp;section=generalites" TargetMode="External"/><Relationship Id="rId36" Type="http://schemas.openxmlformats.org/officeDocument/2006/relationships/hyperlink" Target="https://www.inrs.fr/publications/bdd/fichetox/fiche.html?refINRS=FICHETOX_48&amp;section=incendieExplosion" TargetMode="External"/><Relationship Id="rId37" Type="http://schemas.openxmlformats.org/officeDocument/2006/relationships/hyperlink" Target="https://www.inrs.fr/publications/bdd/fichetox/fiche.html?refINRS=FICHETOX_48&amp;section=pathologieToxicologie" TargetMode="External"/><Relationship Id="rId39" Type="http://schemas.openxmlformats.org/officeDocument/2006/relationships/hyperlink" Target="https://www.inrs.fr/publications/bdd/fichetox/fiche.html?refINRS=FICHETOX_48&amp;section=recommandations" TargetMode="External"/><Relationship Id="rId38" Type="http://schemas.openxmlformats.org/officeDocument/2006/relationships/hyperlink" Target="https://www.inrs.fr/publications/bdd/fichetox/fiche.html?refINRS=FICHETOX_48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2026-04-01T13:54:09Z</dcterms:created>
  <dcterms:modified xsi:type="dcterms:W3CDTF">2026-04-01T13:54:09Z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