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binzel-sprayanti-adherentbwok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Alexander BINZEL Schweißtechnik GmbH &amp; Co.KG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binzel-sprayanti-adherentbwok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6" w:name="X61b7c2e6aa33970a7a9cbce09d4b6940e028b46"/>
    <w:p>
      <w:pPr>
        <w:pStyle w:val="Heading1"/>
      </w:pPr>
      <w:r>
        <w:t xml:space="preserve">Analyse des dangers : binzel-sprayanti-adherentbwok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binzel-sprayanti-adherentbwok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Alexander BINZEL Schweißtechnik GmbH &amp; Co.KG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l’article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 (une pulvérisation liquide)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Seulement pour les utilisateurs professionnels.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2017-11-06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2017-11-06.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numPr>
          <w:ilvl w:val="0"/>
          <w:numId w:val="1003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4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 2 5F Gaz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Classe 2.1</w:t>
      </w:r>
    </w:p>
    <w:p>
      <w:pPr>
        <w:pStyle w:val="Compact"/>
        <w:numPr>
          <w:ilvl w:val="0"/>
          <w:numId w:val="1005"/>
        </w:numPr>
      </w:pPr>
      <w:r>
        <w:t xml:space="preserve">IATA : Classe 2.1</w:t>
      </w:r>
    </w:p>
    <w:p>
      <w:pPr>
        <w:pStyle w:val="Compact"/>
        <w:numPr>
          <w:ilvl w:val="0"/>
          <w:numId w:val="1005"/>
        </w:numPr>
      </w:pPr>
      <w:r>
        <w:t xml:space="preserve">UN : UN 1950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Laver immédiatement à l’eau et au savon.</w:t>
      </w:r>
      <w:r>
        <w:t xml:space="preserve"> </w:t>
      </w:r>
      <w:r>
        <w:t xml:space="preserve">• Bien rincer.</w:t>
      </w:r>
    </w:p>
    <w:p>
      <w:pPr>
        <w:pStyle w:val="BodyText"/>
      </w:pPr>
      <w:r>
        <w:t xml:space="preserve">eyes : • Rincer les yeux pendant plusieurs minutes sous l’eau courante en écartant bien les paupières.</w:t>
      </w:r>
      <w:r>
        <w:t xml:space="preserve"> </w:t>
      </w:r>
      <w:r>
        <w:t xml:space="preserve">• Si les troubles persistent, consulter un médecin.</w:t>
      </w:r>
      <w:r>
        <w:t xml:space="preserve"> </w:t>
      </w:r>
      <w:r>
        <w:t xml:space="preserve">• Protéger l’œil intact.</w:t>
      </w:r>
    </w:p>
    <w:p>
      <w:pPr>
        <w:pStyle w:val="BodyText"/>
      </w:pPr>
      <w:r>
        <w:t xml:space="preserve">ingestion : • Si les troubles persistent, consulter un médecin.</w:t>
      </w:r>
    </w:p>
    <w:p>
      <w:pPr>
        <w:pStyle w:val="BodyText"/>
      </w:pPr>
      <w:r>
        <w:t xml:space="preserve">inhalation : • Donner de l’air frais.</w:t>
      </w:r>
      <w:r>
        <w:t xml:space="preserve"> </w:t>
      </w:r>
      <w:r>
        <w:t xml:space="preserve">• Consulter un médecin en cas de troubles.</w:t>
      </w:r>
    </w:p>
    <w:p>
      <w:r>
        <w:br w:type="page"/>
      </w:r>
    </w:p>
    <w:bookmarkEnd w:id="34"/>
    <w:bookmarkStart w:id="4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106-97-8</w:t>
      </w:r>
    </w:p>
    <w:p>
      <w:pPr>
        <w:pStyle w:val="Compact"/>
        <w:numPr>
          <w:ilvl w:val="0"/>
          <w:numId w:val="1006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74-98-6</w:t>
      </w:r>
    </w:p>
    <w:p>
      <w:pPr>
        <w:pStyle w:val="Compact"/>
        <w:numPr>
          <w:ilvl w:val="0"/>
          <w:numId w:val="1007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isobutane"/>
    <w:p>
      <w:pPr>
        <w:pStyle w:val="Heading3"/>
      </w:pPr>
      <w:r>
        <w:t xml:space="preserve">Isobutane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75-28-5</w:t>
      </w:r>
    </w:p>
    <w:p>
      <w:pPr>
        <w:pStyle w:val="Compact"/>
        <w:numPr>
          <w:ilvl w:val="0"/>
          <w:numId w:val="1008"/>
        </w:numPr>
      </w:pPr>
      <w:r>
        <w:t xml:space="preserve">N° EINECS : 200-857-2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Start w:id="42" w:name="butadiène"/>
    <w:p>
      <w:pPr>
        <w:pStyle w:val="Heading3"/>
      </w:pPr>
      <w:r>
        <w:t xml:space="preserve">Butadiène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None</w:t>
      </w:r>
    </w:p>
    <w:p>
      <w:pPr>
        <w:pStyle w:val="Compact"/>
        <w:numPr>
          <w:ilvl w:val="0"/>
          <w:numId w:val="1009"/>
        </w:numPr>
      </w:pPr>
      <w:r>
        <w:t xml:space="preserve">N° EINECS : 203-450-8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0.1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End w:id="43"/>
    <w:bookmarkStart w:id="4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butylcaoutchouc (butyl rubber). • Épaisseur recommandée : ≥ 0,5 mm. • Temps de pénétration : selon la norme EN 374, section III, la durée maximale de port recommandée est 50 % du temps de pénétration. • Protection contre les éclaboussures : gants en caoutchouc nitrile, épaisseur ≥ 0,1 mm, temps de pénétration &lt; 10 min.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 Type : lunettes de protection hermétiques. • Classification : EN 166 (protection du visage).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butylcaoutchouc (butyl rubber). • Épaisseur recommandée : ≥ 0,5 mm. • Temps de pénétration : selon la norme EN 374, section III, la durée maximale de port recommandée est 50 % du temps de pénétration. • Protection contre les éclaboussures : gants en caoutchouc nitrile, épaisseur ≥ 0,1 mm, temps de pénétration &lt; 10 min.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Filtre : A/P2 (filtre à gaz et filtre combiné selon la norme EN 141). • Utilisation : protection respiratoire n’est pas nécessaire si la ventilation est suffisante ; sinon, un appareil de protection respiratoire avec filtre A/P2 doit être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Type : vêtements de travail protecteurs, vêtements de protection étanches.</w:t>
            </w:r>
          </w:p>
        </w:tc>
      </w:tr>
    </w:tbl>
    <w:bookmarkEnd w:id="44"/>
    <w:bookmarkStart w:id="4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au frais et au sec dans des fûts très bien fermés. - Veiller à une bonne ventilation/aspiration du poste de travail. - Tenir à l’abri des sources d’inflammation – ne pas fumer.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uniquement dans le fût d’origine. - Respecter les prescriptions légales pour le stockage des emballages sous pression. - Ne pas stocker avec les aliments. - Protéger contre le gel. - Stocker au sec. - Tenir les emballages hermétiquement fermés. - Protéger de la forte chaleur et du rayonnement direct du soleil. - Température de stockage recommandée : 10 – 30 °C.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Seulement pour les utilisateurs professionnels.</w:t>
            </w:r>
          </w:p>
        </w:tc>
      </w:tr>
    </w:tbl>
    <w:bookmarkEnd w:id="45"/>
    <w:bookmarkEnd w:id="4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2026-04-01T14:00:10Z</dcterms:created>
  <dcterms:modified xsi:type="dcterms:W3CDTF">2026-04-01T14:00:10Z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