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boniliquidevaissellerosok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Vipack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boniliquidevaissellerosok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4" w:name="X17d6b7406f131ff203deb24deb02a54c2cd65c7"/>
    <w:p>
      <w:pPr>
        <w:pStyle w:val="Heading1"/>
      </w:pPr>
      <w:r>
        <w:t xml:space="preserve">Analyse des dangers : boniliquidevaissellerosok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boniliquidevaissellerosok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Vipack B.V.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destiné au grand public, utilisé par les consommateurs comme nettoyant ; détergent pour lavage de la vaisselle à la main, y compris les concentrés.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2015-04-13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2015-04-13.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P402</w:t>
      </w:r>
      <w:r>
        <w:t xml:space="preserve"> </w:t>
      </w:r>
      <w:r>
        <w:t xml:space="preserve">Stocker dans un endroit sec.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la peau à l’eau ou se doucher.</w:t>
      </w:r>
    </w:p>
    <w:p>
      <w:pPr>
        <w:pStyle w:val="BodyText"/>
      </w:pPr>
      <w:r>
        <w:t xml:space="preserve">eyes : Rincer avec précaution à l’eau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d’urgence un médecin.</w:t>
      </w:r>
    </w:p>
    <w:p>
      <w:pPr>
        <w:pStyle w:val="BodyText"/>
      </w:pPr>
      <w:r>
        <w:t xml:space="preserve">inhalation : Non considéré comme dangereux à l’inhalation dans des conditions normales d’utilisation.</w:t>
      </w:r>
      <w:r>
        <w:t xml:space="preserve"> </w:t>
      </w:r>
      <w:r>
        <w:t xml:space="preserve">Faire respirer de l’air frais.</w:t>
      </w:r>
      <w:r>
        <w:t xml:space="preserve"> </w:t>
      </w:r>
      <w:r>
        <w:t xml:space="preserve">Mettre la victime au repos.</w:t>
      </w:r>
    </w:p>
    <w:p>
      <w:r>
        <w:br w:type="page"/>
      </w:r>
    </w:p>
    <w:bookmarkEnd w:id="34"/>
    <w:bookmarkStart w:id="4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sodiumalkyleo2sulfatelauryl-"/>
    <w:p>
      <w:pPr>
        <w:pStyle w:val="Heading3"/>
      </w:pPr>
      <w:r>
        <w:t xml:space="preserve">SodiumalkylEO2sulfate(lauryl-)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68891-38-3</w:t>
      </w:r>
    </w:p>
    <w:p>
      <w:pPr>
        <w:pStyle w:val="Compact"/>
        <w:numPr>
          <w:ilvl w:val="0"/>
          <w:numId w:val="1006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X07b8ad2b5ab49d2a4fea97c2415b472ebf4cdd2"/>
    <w:p>
      <w:pPr>
        <w:pStyle w:val="Heading3"/>
      </w:pPr>
      <w:r>
        <w:t xml:space="preserve">N-[3-(methylamino)propyl]-N-alkyl(cocoalkyl)oxide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68155-09-9</w:t>
      </w:r>
    </w:p>
    <w:p>
      <w:pPr>
        <w:pStyle w:val="Compact"/>
        <w:numPr>
          <w:ilvl w:val="0"/>
          <w:numId w:val="1008"/>
        </w:numPr>
      </w:pPr>
      <w:r>
        <w:t xml:space="preserve">N° EINECS : 268-938-5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not-found"/>
    <w:p>
      <w:pPr>
        <w:pStyle w:val="Heading3"/>
      </w:pPr>
      <w:r>
        <w:t xml:space="preserve">Not Found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931-275-3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End w:id="41"/>
    <w:bookmarkStart w:id="4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 • Lunettes de sécurité ou lunettes anti‑éclaboussures (ou lunettes de sécurité) conformes à la norme EN 166.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Utilisation obligatoire uniquement en présence de risque d’éclaboussures ou de projections de liquide.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2"/>
    <w:bookmarkStart w:id="4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Prendre les précautions nécessaires relatives à l’emploi de produits chimiques et de nettoyants (voir les informations transmises par le fabricant). - Se laver les mains et toute autre zone exposée avec un savon doux et de l’eau, avant de manger, de boire, de fumer, et avant de quitter le travail. - Assurer une bonne ventilation de la zone de travail afin d’éviter la formation de vapeurs. - Ne pas manger, boire ou fumer en manipulant ce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uniquement dans le récipient d’origine, dans un endroit frais et bien ventilé, maintenir le récipient fermé de manière étanche et protéger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destiné au grand public, utilisé par les consommateurs comme nettoyant ; détergent pour lavage de la vaisselle à la main, y compris les concentrés.</w:t>
            </w:r>
          </w:p>
        </w:tc>
      </w:tr>
    </w:tbl>
    <w:bookmarkEnd w:id="43"/>
    <w:bookmarkEnd w:id="4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2026-04-01T14:07:09Z</dcterms:created>
  <dcterms:modified xsi:type="dcterms:W3CDTF">2026-04-01T14:07:09Z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