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ca10cwat-grez-hainok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Alfred Kärcher GmbH &amp; Co. 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ca10cwat-grez-hainok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3" w:name="analyse-des-dangers-ca10cwat-grez-hainok"/>
    <w:p>
      <w:pPr>
        <w:pStyle w:val="Heading1"/>
      </w:pPr>
      <w:r>
        <w:t xml:space="preserve">Analyse des dangers : ca10cwat-grez-hainok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ca10cwat-grez-hainok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Alfred Kärcher GmbH &amp; Co. 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Détargent sanitaire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2014-04-28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2014-04-28. Elle a donc 11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ca10cwat-grez-hainok devrait être classée H314 selon les dernières classifications harmonisées publiées par l’ECHA.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8 (Matières corrosives)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8 (Matières corrosives)</w:t>
      </w:r>
    </w:p>
    <w:p>
      <w:pPr>
        <w:pStyle w:val="Compact"/>
        <w:numPr>
          <w:ilvl w:val="0"/>
          <w:numId w:val="1004"/>
        </w:numPr>
      </w:pPr>
      <w:r>
        <w:t xml:space="preserve">IATA : 8 (Matières corrosives)</w:t>
      </w:r>
    </w:p>
    <w:p>
      <w:pPr>
        <w:pStyle w:val="Compact"/>
        <w:numPr>
          <w:ilvl w:val="0"/>
          <w:numId w:val="1004"/>
        </w:numPr>
      </w:pPr>
      <w:r>
        <w:t xml:space="preserve">UN : UN3264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la zone touchée à l’eau et au savon, puis bien rincer.</w:t>
      </w:r>
      <w:r>
        <w:t xml:space="preserve"> </w:t>
      </w:r>
      <w:r>
        <w:t xml:space="preserve">Retirer immédiatement les vêtements contaminés.</w:t>
      </w:r>
    </w:p>
    <w:p>
      <w:pPr>
        <w:pStyle w:val="BodyText"/>
      </w:pPr>
      <w:r>
        <w:t xml:space="preserve">eyes : Laver les yeux avec de l’eau en écartant les paupières pendant plusieurs minutes.</w:t>
      </w:r>
      <w:r>
        <w:t xml:space="preserve"> </w:t>
      </w:r>
      <w:r>
        <w:t xml:space="preserve">Consulter un médecin après le lavage.</w:t>
      </w:r>
    </w:p>
    <w:p>
      <w:pPr>
        <w:pStyle w:val="BodyText"/>
      </w:pPr>
      <w:r>
        <w:t xml:space="preserve">ingestion : Rincer la bouche, puis boire abondamment de l’eau.</w:t>
      </w:r>
      <w:r>
        <w:t xml:space="preserve"> </w:t>
      </w:r>
      <w:r>
        <w:t xml:space="preserve">Faire boire de l’eau en abondance et donner de l’air frais.</w:t>
      </w:r>
      <w:r>
        <w:t xml:space="preserve"> </w:t>
      </w:r>
      <w:r>
        <w:t xml:space="preserve">Consulter immédiatement un médecin.</w:t>
      </w:r>
    </w:p>
    <w:p>
      <w:pPr>
        <w:pStyle w:val="BodyText"/>
      </w:pPr>
      <w:r>
        <w:t xml:space="preserve">inhalation : Donner de l’air frais.</w:t>
      </w:r>
      <w:r>
        <w:t xml:space="preserve"> </w:t>
      </w:r>
      <w:r>
        <w:t xml:space="preserve">En cas d’inconscience, coucher la personne en position latérale stable et la transporter en sécurité.</w:t>
      </w:r>
      <w:r>
        <w:t xml:space="preserve"> </w:t>
      </w:r>
      <w:r>
        <w:t xml:space="preserve">Consulter immédiatement un médecin si des troubles persistent.</w:t>
      </w:r>
    </w:p>
    <w:p>
      <w:r>
        <w:br w:type="page"/>
      </w:r>
    </w:p>
    <w:bookmarkEnd w:id="31"/>
    <w:bookmarkStart w:id="6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cide-citrique-monohydraté"/>
    <w:p>
      <w:pPr>
        <w:pStyle w:val="Heading3"/>
      </w:pPr>
      <w:r>
        <w:t xml:space="preserve">acide citrique monohydraté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5949-29-1</w:t>
      </w:r>
    </w:p>
    <w:p>
      <w:pPr>
        <w:pStyle w:val="Compact"/>
        <w:numPr>
          <w:ilvl w:val="0"/>
          <w:numId w:val="1005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acide-méthanesulfonique"/>
    <w:p>
      <w:pPr>
        <w:pStyle w:val="Heading3"/>
      </w:pPr>
      <w:r>
        <w:t xml:space="preserve">acide méthanesulfonique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75-75-2</w:t>
      </w:r>
    </w:p>
    <w:p>
      <w:pPr>
        <w:pStyle w:val="Compact"/>
        <w:numPr>
          <w:ilvl w:val="0"/>
          <w:numId w:val="1007"/>
        </w:numPr>
      </w:pPr>
      <w:r>
        <w:t xml:space="preserve">N° EINECS : 200-898-6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8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37" w:name="ethoxylate-dalcool-gras"/>
    <w:p>
      <w:pPr>
        <w:pStyle w:val="Heading3"/>
      </w:pPr>
      <w:r>
        <w:t xml:space="preserve">ethoxylate d’alcool gras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69011-36-5</w:t>
      </w:r>
    </w:p>
    <w:p>
      <w:pPr>
        <w:pStyle w:val="Compact"/>
        <w:numPr>
          <w:ilvl w:val="0"/>
          <w:numId w:val="1009"/>
        </w:numPr>
      </w:pPr>
      <w:r>
        <w:t xml:space="preserve">N° EINECS : 931-138-8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6"/>
    <w:bookmarkEnd w:id="37"/>
    <w:bookmarkStart w:id="48" w:name="butoxyéthoxyéthanol"/>
    <w:p>
      <w:pPr>
        <w:pStyle w:val="Heading3"/>
      </w:pPr>
      <w:r>
        <w:t xml:space="preserve">2-(2-butoxyéthoxy)éthanol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112-34-5</w:t>
      </w:r>
    </w:p>
    <w:p>
      <w:pPr>
        <w:pStyle w:val="Compact"/>
        <w:numPr>
          <w:ilvl w:val="0"/>
          <w:numId w:val="1011"/>
        </w:numPr>
      </w:pPr>
      <w:r>
        <w:t xml:space="preserve">N° EINECS : 203-961-6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2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67.5 - VLE-15min (ppm) : 15.0 - VLE-15min (mg/m³) : 101.2</w:t>
            </w:r>
          </w:p>
        </w:tc>
      </w:tr>
    </w:tbl>
    <w:bookmarkStart w:id="47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n°254 - 2-(2-Butoxyéthoxy)éthanol et son acétate</w:t>
        </w:r>
      </w:hyperlink>
    </w:p>
    <w:p>
      <w:pPr>
        <w:numPr>
          <w:ilvl w:val="0"/>
          <w:numId w:val="1013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Explosion[3, 5-7, 14-16]</w:t>
        </w:r>
      </w:hyperlink>
    </w:p>
    <w:p>
      <w:pPr>
        <w:numPr>
          <w:ilvl w:val="0"/>
          <w:numId w:val="1013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acide-phosphorique"/>
    <w:p>
      <w:pPr>
        <w:pStyle w:val="Heading3"/>
      </w:pPr>
      <w:r>
        <w:t xml:space="preserve">acide phosphorique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7664-38-2</w:t>
      </w:r>
    </w:p>
    <w:p>
      <w:pPr>
        <w:pStyle w:val="Compact"/>
        <w:numPr>
          <w:ilvl w:val="0"/>
          <w:numId w:val="1014"/>
        </w:numPr>
      </w:pPr>
      <w:r>
        <w:t xml:space="preserve">N° EINECS : 231-633-2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15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1.0 - VLE-15min (mg/m³) : 2.0</w:t>
            </w:r>
          </w:p>
        </w:tc>
      </w:tr>
    </w:tbl>
    <w:bookmarkStart w:id="58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n°37 - Acide phosphorique</w:t>
        </w:r>
      </w:hyperlink>
    </w:p>
    <w:p>
      <w:pPr>
        <w:numPr>
          <w:ilvl w:val="0"/>
          <w:numId w:val="1016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6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6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6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Explosion[1-3, 4]</w:t>
        </w:r>
      </w:hyperlink>
    </w:p>
    <w:p>
      <w:pPr>
        <w:numPr>
          <w:ilvl w:val="0"/>
          <w:numId w:val="1016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6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6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6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End w:id="60"/>
    <w:bookmarkStart w:id="6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 : caoutchouc de butyle (pour contact permanent) ou caoutchouc nitrile (pour protection contre les éclaboussures).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0,7 mm pour le caoutchouc de butyle, 0,4 mm pour le caoutchouc nitrile.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 : 480 min pour le caoutchouc de butyle (contact permanent), 30 min pour le caoutchouc nitrile (protection contre éclaboussures).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hermétiques.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Filtre respirateur. En cas d’exposition intense ou durable : appareil de respiration indépendant de l’air ambiant. Pas de protection respiratoire nécessaire si la pièce dispose d’une bonne ventilation.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Tablier, bottes.</w:t>
            </w:r>
          </w:p>
        </w:tc>
      </w:tr>
    </w:tbl>
    <w:bookmarkEnd w:id="61"/>
    <w:bookmarkStart w:id="6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Veiller à une bonne ventilation/aspiration du poste de travail. - Éviter le dégagement d’aérosols. - Préventions des incendies et des explosions : aucune mesure particulière n’est requise.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sûr: - Aucune exigence particulière concernant les lieux et les conteneurs de stockage. - Les emballages doivent être tenus hermétiquement fermés.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Détargent sanitaire</w:t>
            </w:r>
          </w:p>
        </w:tc>
      </w:tr>
    </w:tbl>
    <w:bookmarkEnd w:id="62"/>
    <w:bookmarkEnd w:id="6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254" TargetMode="External"/><Relationship Id="rId41" Type="http://schemas.openxmlformats.org/officeDocument/2006/relationships/hyperlink" Target="https://www.inrs.fr/publications/bdd/fichetox/fiche.html?refINRS=FICHETOX_254&amp;section=VLEPMesurage" TargetMode="External"/><Relationship Id="rId46" Type="http://schemas.openxmlformats.org/officeDocument/2006/relationships/hyperlink" Target="https://www.inrs.fr/publications/bdd/fichetox/fiche.html?refINRS=FICHETOX_254&amp;section=bibliographieAuteurs" TargetMode="External"/><Relationship Id="rId40" Type="http://schemas.openxmlformats.org/officeDocument/2006/relationships/hyperlink" Target="https://www.inrs.fr/publications/bdd/fichetox/fiche.html?refINRS=FICHETOX_254&amp;section=caracteristiques" TargetMode="External"/><Relationship Id="rId39" Type="http://schemas.openxmlformats.org/officeDocument/2006/relationships/hyperlink" Target="https://www.inrs.fr/publications/bdd/fichetox/fiche.html?refINRS=FICHETOX_254&amp;section=generalites" TargetMode="External"/><Relationship Id="rId42" Type="http://schemas.openxmlformats.org/officeDocument/2006/relationships/hyperlink" Target="https://www.inrs.fr/publications/bdd/fichetox/fiche.html?refINRS=FICHETOX_254&amp;section=incendieExplosion" TargetMode="External"/><Relationship Id="rId43" Type="http://schemas.openxmlformats.org/officeDocument/2006/relationships/hyperlink" Target="https://www.inrs.fr/publications/bdd/fichetox/fiche.html?refINRS=FICHETOX_254&amp;section=pathologieToxicologie" TargetMode="External"/><Relationship Id="rId45" Type="http://schemas.openxmlformats.org/officeDocument/2006/relationships/hyperlink" Target="https://www.inrs.fr/publications/bdd/fichetox/fiche.html?refINRS=FICHETOX_254&amp;section=recommandations" TargetMode="External"/><Relationship Id="rId44" Type="http://schemas.openxmlformats.org/officeDocument/2006/relationships/hyperlink" Target="https://www.inrs.fr/publications/bdd/fichetox/fiche.html?refINRS=FICHETOX_254&amp;section=reglementation" TargetMode="External"/><Relationship Id="rId49" Type="http://schemas.openxmlformats.org/officeDocument/2006/relationships/hyperlink" Target="https://www.inrs.fr/publications/bdd/fichetox/fiche.html?refINRS=FICHETOX_37" TargetMode="External"/><Relationship Id="rId52" Type="http://schemas.openxmlformats.org/officeDocument/2006/relationships/hyperlink" Target="https://www.inrs.fr/publications/bdd/fichetox/fiche.html?refINRS=FICHETOX_37&amp;section=VLEPMesurage" TargetMode="External"/><Relationship Id="rId57" Type="http://schemas.openxmlformats.org/officeDocument/2006/relationships/hyperlink" Target="https://www.inrs.fr/publications/bdd/fichetox/fiche.html?refINRS=FICHETOX_37&amp;section=bibliographieAuteurs" TargetMode="External"/><Relationship Id="rId51" Type="http://schemas.openxmlformats.org/officeDocument/2006/relationships/hyperlink" Target="https://www.inrs.fr/publications/bdd/fichetox/fiche.html?refINRS=FICHETOX_37&amp;section=caracteristiques" TargetMode="External"/><Relationship Id="rId50" Type="http://schemas.openxmlformats.org/officeDocument/2006/relationships/hyperlink" Target="https://www.inrs.fr/publications/bdd/fichetox/fiche.html?refINRS=FICHETOX_37&amp;section=generalites" TargetMode="External"/><Relationship Id="rId53" Type="http://schemas.openxmlformats.org/officeDocument/2006/relationships/hyperlink" Target="https://www.inrs.fr/publications/bdd/fichetox/fiche.html?refINRS=FICHETOX_37&amp;section=incendieExplosion" TargetMode="External"/><Relationship Id="rId54" Type="http://schemas.openxmlformats.org/officeDocument/2006/relationships/hyperlink" Target="https://www.inrs.fr/publications/bdd/fichetox/fiche.html?refINRS=FICHETOX_37&amp;section=pathologieToxicologie" TargetMode="External"/><Relationship Id="rId56" Type="http://schemas.openxmlformats.org/officeDocument/2006/relationships/hyperlink" Target="https://www.inrs.fr/publications/bdd/fichetox/fiche.html?refINRS=FICHETOX_37&amp;section=recommandations" TargetMode="External"/><Relationship Id="rId55" Type="http://schemas.openxmlformats.org/officeDocument/2006/relationships/hyperlink" Target="https://www.inrs.fr/publications/bdd/fichetox/fiche.html?refINRS=FICHETOX_3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254" TargetMode="External"/><Relationship Id="rId41" Type="http://schemas.openxmlformats.org/officeDocument/2006/relationships/hyperlink" Target="https://www.inrs.fr/publications/bdd/fichetox/fiche.html?refINRS=FICHETOX_254&amp;section=VLEPMesurage" TargetMode="External"/><Relationship Id="rId46" Type="http://schemas.openxmlformats.org/officeDocument/2006/relationships/hyperlink" Target="https://www.inrs.fr/publications/bdd/fichetox/fiche.html?refINRS=FICHETOX_254&amp;section=bibliographieAuteurs" TargetMode="External"/><Relationship Id="rId40" Type="http://schemas.openxmlformats.org/officeDocument/2006/relationships/hyperlink" Target="https://www.inrs.fr/publications/bdd/fichetox/fiche.html?refINRS=FICHETOX_254&amp;section=caracteristiques" TargetMode="External"/><Relationship Id="rId39" Type="http://schemas.openxmlformats.org/officeDocument/2006/relationships/hyperlink" Target="https://www.inrs.fr/publications/bdd/fichetox/fiche.html?refINRS=FICHETOX_254&amp;section=generalites" TargetMode="External"/><Relationship Id="rId42" Type="http://schemas.openxmlformats.org/officeDocument/2006/relationships/hyperlink" Target="https://www.inrs.fr/publications/bdd/fichetox/fiche.html?refINRS=FICHETOX_254&amp;section=incendieExplosion" TargetMode="External"/><Relationship Id="rId43" Type="http://schemas.openxmlformats.org/officeDocument/2006/relationships/hyperlink" Target="https://www.inrs.fr/publications/bdd/fichetox/fiche.html?refINRS=FICHETOX_254&amp;section=pathologieToxicologie" TargetMode="External"/><Relationship Id="rId45" Type="http://schemas.openxmlformats.org/officeDocument/2006/relationships/hyperlink" Target="https://www.inrs.fr/publications/bdd/fichetox/fiche.html?refINRS=FICHETOX_254&amp;section=recommandations" TargetMode="External"/><Relationship Id="rId44" Type="http://schemas.openxmlformats.org/officeDocument/2006/relationships/hyperlink" Target="https://www.inrs.fr/publications/bdd/fichetox/fiche.html?refINRS=FICHETOX_254&amp;section=reglementation" TargetMode="External"/><Relationship Id="rId49" Type="http://schemas.openxmlformats.org/officeDocument/2006/relationships/hyperlink" Target="https://www.inrs.fr/publications/bdd/fichetox/fiche.html?refINRS=FICHETOX_37" TargetMode="External"/><Relationship Id="rId52" Type="http://schemas.openxmlformats.org/officeDocument/2006/relationships/hyperlink" Target="https://www.inrs.fr/publications/bdd/fichetox/fiche.html?refINRS=FICHETOX_37&amp;section=VLEPMesurage" TargetMode="External"/><Relationship Id="rId57" Type="http://schemas.openxmlformats.org/officeDocument/2006/relationships/hyperlink" Target="https://www.inrs.fr/publications/bdd/fichetox/fiche.html?refINRS=FICHETOX_37&amp;section=bibliographieAuteurs" TargetMode="External"/><Relationship Id="rId51" Type="http://schemas.openxmlformats.org/officeDocument/2006/relationships/hyperlink" Target="https://www.inrs.fr/publications/bdd/fichetox/fiche.html?refINRS=FICHETOX_37&amp;section=caracteristiques" TargetMode="External"/><Relationship Id="rId50" Type="http://schemas.openxmlformats.org/officeDocument/2006/relationships/hyperlink" Target="https://www.inrs.fr/publications/bdd/fichetox/fiche.html?refINRS=FICHETOX_37&amp;section=generalites" TargetMode="External"/><Relationship Id="rId53" Type="http://schemas.openxmlformats.org/officeDocument/2006/relationships/hyperlink" Target="https://www.inrs.fr/publications/bdd/fichetox/fiche.html?refINRS=FICHETOX_37&amp;section=incendieExplosion" TargetMode="External"/><Relationship Id="rId54" Type="http://schemas.openxmlformats.org/officeDocument/2006/relationships/hyperlink" Target="https://www.inrs.fr/publications/bdd/fichetox/fiche.html?refINRS=FICHETOX_37&amp;section=pathologieToxicologie" TargetMode="External"/><Relationship Id="rId56" Type="http://schemas.openxmlformats.org/officeDocument/2006/relationships/hyperlink" Target="https://www.inrs.fr/publications/bdd/fichetox/fiche.html?refINRS=FICHETOX_37&amp;section=recommandations" TargetMode="External"/><Relationship Id="rId55" Type="http://schemas.openxmlformats.org/officeDocument/2006/relationships/hyperlink" Target="https://www.inrs.fr/publications/bdd/fichetox/fiche.html?refINRS=FICHETOX_3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2026-04-01T14:20:58Z</dcterms:created>
  <dcterms:modified xsi:type="dcterms:W3CDTF">2026-04-01T14:20:58Z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