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ca50cwat-grez-hain-bwok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Alfred Kärcher GmbH &amp; Co. KG</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ca50cwat-grez-hain-bwok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9" w:name="Xf11f5512bba1e116789bab5ac1df4cb231f1871"/>
    <w:p>
      <w:pPr>
        <w:pStyle w:val="Heading1"/>
      </w:pPr>
      <w:r>
        <w:t xml:space="preserve">Analyse des dangers : ca50cwat-grez-hain-bwok</w:t>
      </w:r>
    </w:p>
    <w:p>
      <w:pPr>
        <w:pStyle w:val="FirstParagraph"/>
      </w:pPr>
      <w:r>
        <w:t xml:space="preserve">Dans la suite, nous détaillons les dangers associés au produit</w:t>
      </w:r>
      <w:r>
        <w:t xml:space="preserve"> </w:t>
      </w:r>
      <w:r>
        <w:rPr>
          <w:b/>
          <w:bCs/>
        </w:rPr>
        <w:t xml:space="preserve">ca50cwat-grez-hain-bwok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Alfred Kärcher GmbH &amp; Co. KG</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7,4</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Nettoyage de surface.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2013-07-11</w:t>
            </w:r>
          </w:p>
        </w:tc>
      </w:tr>
    </w:tbl>
    <w:p>
      <w:pPr>
        <w:pStyle w:val="BodyText"/>
      </w:pPr>
      <w:r>
        <w:t xml:space="preserve"> </w:t>
      </w:r>
      <w:r>
        <w:t xml:space="preserve">La FDS date du 2013-07-11. Elle a donc 12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 Rincer abondamment à l’eau chaude.</w:t>
      </w:r>
    </w:p>
    <w:p>
      <w:pPr>
        <w:pStyle w:val="BodyText"/>
      </w:pPr>
      <w:r>
        <w:t xml:space="preserve">eyes : - Lavage avec de l’eau en écartant les paupières pendant plusieurs minutes.</w:t>
      </w:r>
    </w:p>
    <w:p>
      <w:pPr>
        <w:pStyle w:val="BodyText"/>
      </w:pPr>
      <w:r>
        <w:t xml:space="preserve">ingestion : - Rincer la bouche.</w:t>
      </w:r>
      <w:r>
        <w:t xml:space="preserve"> </w:t>
      </w:r>
      <w:r>
        <w:t xml:space="preserve">- Boire ensuite abondamment.</w:t>
      </w:r>
      <w:r>
        <w:t xml:space="preserve"> </w:t>
      </w:r>
      <w:r>
        <w:t xml:space="preserve">- Consulter un médecin si les troubles persistent.</w:t>
      </w:r>
    </w:p>
    <w:p>
      <w:pPr>
        <w:pStyle w:val="BodyText"/>
      </w:pPr>
      <w:r>
        <w:t xml:space="preserve">inhalation : - Donner de l’air frais.</w:t>
      </w:r>
      <w:r>
        <w:t xml:space="preserve"> </w:t>
      </w:r>
      <w:r>
        <w:t xml:space="preserve">- Consulter un médecin en cas de troubles.</w:t>
      </w:r>
    </w:p>
    <w:p>
      <w:r>
        <w:br w:type="page"/>
      </w:r>
    </w:p>
    <w:bookmarkEnd w:id="31"/>
    <w:bookmarkStart w:id="56" w:name="Xd3fd47f9279b52cc9d4b00e07bdfde0bea6594f"/>
    <w:p>
      <w:pPr>
        <w:pStyle w:val="Heading2"/>
      </w:pPr>
      <w:r>
        <w:t xml:space="preserve">Informations relatives aux substances dangereuses présentes</w:t>
      </w:r>
    </w:p>
    <w:bookmarkStart w:id="42" w:name="méthoxypropane-2-ol"/>
    <w:p>
      <w:pPr>
        <w:pStyle w:val="Heading3"/>
      </w:pPr>
      <w:r>
        <w:t xml:space="preserve">1-méthoxypropane-2-ol</w:t>
      </w:r>
    </w:p>
    <w:p>
      <w:pPr>
        <w:pStyle w:val="FirstParagraph"/>
      </w:pPr>
      <w:r>
        <w:rPr>
          <w:b/>
          <w:bCs/>
        </w:rPr>
        <w:t xml:space="preserve">Identification</w:t>
      </w:r>
    </w:p>
    <w:p>
      <w:pPr>
        <w:pStyle w:val="Compact"/>
        <w:numPr>
          <w:ilvl w:val="0"/>
          <w:numId w:val="1004"/>
        </w:numPr>
      </w:pPr>
      <w:r>
        <w:t xml:space="preserve">N° CAS : 107-98-2</w:t>
      </w:r>
    </w:p>
    <w:p>
      <w:pPr>
        <w:pStyle w:val="Compact"/>
        <w:numPr>
          <w:ilvl w:val="0"/>
          <w:numId w:val="1004"/>
        </w:numPr>
      </w:pPr>
      <w:r>
        <w:t xml:space="preserve">N° EINECS : 203-539-1</w:t>
      </w:r>
    </w:p>
    <w:p>
      <w:pPr>
        <w:pStyle w:val="FirstParagraph"/>
      </w:pPr>
      <w:r>
        <w:rPr>
          <w:b/>
          <w:bCs/>
        </w:rPr>
        <w:t xml:space="preserve">Concentration</w:t>
      </w:r>
      <w:r>
        <w:t xml:space="preserve"> </w:t>
      </w:r>
      <w:r>
        <w:t xml:space="preserve">:from 0.0 to 0.0</w:t>
      </w:r>
    </w:p>
    <w:p>
      <w:pPr>
        <w:pStyle w:val="BodyText"/>
      </w:pPr>
      <w:r>
        <w:rPr>
          <w:b/>
          <w:bCs/>
        </w:rPr>
        <w:t xml:space="preserve">Dangers</w:t>
      </w:r>
      <w:r>
        <w:t xml:space="preserve"> </w:t>
      </w:r>
      <w:r>
        <w:t xml:space="preserve">:</w:t>
      </w:r>
    </w:p>
    <w:p>
      <w:pPr>
        <w:numPr>
          <w:ilvl w:val="0"/>
          <w:numId w:val="1005"/>
        </w:numPr>
      </w:pPr>
      <w:r>
        <w:t xml:space="preserve">H226</w:t>
      </w:r>
      <w:r>
        <w:t xml:space="preserve"> </w:t>
      </w:r>
      <w:r>
        <w:t xml:space="preserve">Liquide et vapeurs inflammables.</w:t>
      </w:r>
    </w:p>
    <w:p>
      <w:pPr>
        <w:numPr>
          <w:ilvl w:val="0"/>
          <w:numId w:val="1005"/>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50.0 - VLE-8h (mg/m³) : 184.0 - VLE-15min (ppm) : 100.0 - VLE-15min (mg/m³) : 369.0</w:t>
            </w:r>
          </w:p>
        </w:tc>
      </w:tr>
    </w:tbl>
    <w:bookmarkStart w:id="41" w:name="propriétés"/>
    <w:p>
      <w:pPr>
        <w:pStyle w:val="Heading4"/>
      </w:pPr>
      <w:r>
        <w:t xml:space="preserve">Propriétés</w:t>
      </w:r>
    </w:p>
    <w:p>
      <w:pPr>
        <w:pStyle w:val="FirstParagraph"/>
      </w:pPr>
      <w:hyperlink r:id="rId32">
        <w:r>
          <w:rPr>
            <w:rStyle w:val="Hyperlink"/>
            <w:color w:val="0856A0"/>
            <w:u w:val="single"/>
          </w:rPr>
          <w:t xml:space="preserve">Fiche n°221 - 1-Méthoxy-2-propanol et son acétate</w:t>
        </w:r>
      </w:hyperlink>
    </w:p>
    <w:p>
      <w:pPr>
        <w:numPr>
          <w:ilvl w:val="0"/>
          <w:numId w:val="1006"/>
        </w:numPr>
      </w:pPr>
      <w:hyperlink r:id="rId33">
        <w:r>
          <w:rPr>
            <w:rStyle w:val="Hyperlink"/>
            <w:color w:val="0856A0"/>
            <w:u w:val="single"/>
          </w:rPr>
          <w:t xml:space="preserve">Généralités</w:t>
        </w:r>
      </w:hyperlink>
    </w:p>
    <w:p>
      <w:pPr>
        <w:numPr>
          <w:ilvl w:val="0"/>
          <w:numId w:val="1006"/>
        </w:numPr>
      </w:pPr>
      <w:hyperlink r:id="rId34">
        <w:r>
          <w:rPr>
            <w:rStyle w:val="Hyperlink"/>
            <w:color w:val="0856A0"/>
            <w:u w:val="single"/>
          </w:rPr>
          <w:t xml:space="preserve">Caractéristiques</w:t>
        </w:r>
      </w:hyperlink>
    </w:p>
    <w:p>
      <w:pPr>
        <w:numPr>
          <w:ilvl w:val="0"/>
          <w:numId w:val="1006"/>
        </w:numPr>
      </w:pPr>
      <w:hyperlink r:id="rId35">
        <w:r>
          <w:rPr>
            <w:rStyle w:val="Hyperlink"/>
            <w:color w:val="0856A0"/>
            <w:u w:val="single"/>
          </w:rPr>
          <w:t xml:space="preserve">VLEPMesurage</w:t>
        </w:r>
      </w:hyperlink>
    </w:p>
    <w:p>
      <w:pPr>
        <w:numPr>
          <w:ilvl w:val="0"/>
          <w:numId w:val="1006"/>
        </w:numPr>
      </w:pPr>
      <w:hyperlink r:id="rId36">
        <w:r>
          <w:rPr>
            <w:rStyle w:val="Hyperlink"/>
            <w:color w:val="0856A0"/>
            <w:u w:val="single"/>
          </w:rPr>
          <w:t xml:space="preserve">Incendie - Explosion[1, 2, 14]</w:t>
        </w:r>
      </w:hyperlink>
    </w:p>
    <w:p>
      <w:pPr>
        <w:numPr>
          <w:ilvl w:val="0"/>
          <w:numId w:val="1006"/>
        </w:numPr>
      </w:pPr>
      <w:hyperlink r:id="rId37">
        <w:r>
          <w:rPr>
            <w:rStyle w:val="Hyperlink"/>
            <w:color w:val="0856A0"/>
            <w:u w:val="single"/>
          </w:rPr>
          <w:t xml:space="preserve">Pathologie - Toxicologie</w:t>
        </w:r>
      </w:hyperlink>
    </w:p>
    <w:p>
      <w:pPr>
        <w:numPr>
          <w:ilvl w:val="0"/>
          <w:numId w:val="1006"/>
        </w:numPr>
      </w:pPr>
      <w:hyperlink r:id="rId38">
        <w:r>
          <w:rPr>
            <w:rStyle w:val="Hyperlink"/>
            <w:color w:val="0856A0"/>
            <w:u w:val="single"/>
          </w:rPr>
          <w:t xml:space="preserve">Règlementation</w:t>
        </w:r>
      </w:hyperlink>
    </w:p>
    <w:p>
      <w:pPr>
        <w:numPr>
          <w:ilvl w:val="0"/>
          <w:numId w:val="1006"/>
        </w:numPr>
      </w:pPr>
      <w:hyperlink r:id="rId39">
        <w:r>
          <w:rPr>
            <w:rStyle w:val="Hyperlink"/>
            <w:color w:val="0856A0"/>
            <w:u w:val="single"/>
          </w:rPr>
          <w:t xml:space="preserve">Recommandations</w:t>
        </w:r>
      </w:hyperlink>
    </w:p>
    <w:p>
      <w:pPr>
        <w:numPr>
          <w:ilvl w:val="0"/>
          <w:numId w:val="1006"/>
        </w:numPr>
      </w:pPr>
      <w:hyperlink r:id="rId40">
        <w:r>
          <w:rPr>
            <w:rStyle w:val="Hyperlink"/>
            <w:color w:val="0856A0"/>
            <w:u w:val="single"/>
          </w:rPr>
          <w:t xml:space="preserve">Bibliographie</w:t>
        </w:r>
      </w:hyperlink>
    </w:p>
    <w:bookmarkEnd w:id="41"/>
    <w:bookmarkEnd w:id="42"/>
    <w:bookmarkStart w:id="44" w:name="Xcae744865c27eb05d3d817b475542dfc501d60d"/>
    <w:p>
      <w:pPr>
        <w:pStyle w:val="Heading3"/>
      </w:pPr>
      <w:r>
        <w:t xml:space="preserve">sulfonate de benzène d’alkyle, sal de triethanolamine</w:t>
      </w:r>
    </w:p>
    <w:p>
      <w:pPr>
        <w:pStyle w:val="FirstParagraph"/>
      </w:pPr>
      <w:r>
        <w:rPr>
          <w:b/>
          <w:bCs/>
        </w:rPr>
        <w:t xml:space="preserve">Identification</w:t>
      </w:r>
    </w:p>
    <w:p>
      <w:pPr>
        <w:pStyle w:val="Compact"/>
        <w:numPr>
          <w:ilvl w:val="0"/>
          <w:numId w:val="1007"/>
        </w:numPr>
      </w:pPr>
      <w:r>
        <w:t xml:space="preserve">N° CAS : 68411-31-4</w:t>
      </w:r>
    </w:p>
    <w:p>
      <w:pPr>
        <w:pStyle w:val="Compact"/>
        <w:numPr>
          <w:ilvl w:val="0"/>
          <w:numId w:val="1007"/>
        </w:numPr>
      </w:pPr>
      <w:r>
        <w:t xml:space="preserve">N° EINECS : 270-116-6</w:t>
      </w:r>
    </w:p>
    <w:p>
      <w:pPr>
        <w:pStyle w:val="FirstParagraph"/>
      </w:pPr>
      <w:r>
        <w:rPr>
          <w:b/>
          <w:bCs/>
        </w:rPr>
        <w:t xml:space="preserve">Concentration</w:t>
      </w:r>
      <w:r>
        <w:t xml:space="preserve"> </w:t>
      </w:r>
      <w:r>
        <w:t xml:space="preserve">:from 0.0 to 0.0</w:t>
      </w:r>
    </w:p>
    <w:p>
      <w:pPr>
        <w:pStyle w:val="BodyText"/>
      </w:pPr>
      <w:r>
        <w:rPr>
          <w:b/>
          <w:bCs/>
        </w:rPr>
        <w:t xml:space="preserve">Dangers</w:t>
      </w:r>
      <w:r>
        <w:t xml:space="preserve"> </w:t>
      </w:r>
      <w:r>
        <w:t xml:space="preserve">:</w:t>
      </w:r>
    </w:p>
    <w:p>
      <w:pPr>
        <w:numPr>
          <w:ilvl w:val="0"/>
          <w:numId w:val="1008"/>
        </w:numPr>
      </w:pPr>
      <w:r>
        <w:t xml:space="preserve">H315</w:t>
      </w:r>
      <w:r>
        <w:t xml:space="preserve"> </w:t>
      </w:r>
      <w:r>
        <w:t xml:space="preserve">Provoque une irritation cutanée.</w:t>
      </w:r>
    </w:p>
    <w:p>
      <w:pPr>
        <w:numPr>
          <w:ilvl w:val="0"/>
          <w:numId w:val="1008"/>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3" w:name="propriétés-1"/>
    <w:p>
      <w:pPr>
        <w:pStyle w:val="Heading4"/>
      </w:pPr>
      <w:r>
        <w:t xml:space="preserve">Propriétés</w:t>
      </w:r>
    </w:p>
    <w:p>
      <w:pPr>
        <w:pStyle w:val="FirstParagraph"/>
      </w:pPr>
      <w:r>
        <w:t xml:space="preserve">Pas d’informations disponible.</w:t>
      </w:r>
    </w:p>
    <w:bookmarkEnd w:id="43"/>
    <w:bookmarkEnd w:id="44"/>
    <w:bookmarkStart w:id="55" w:name="propanol"/>
    <w:p>
      <w:pPr>
        <w:pStyle w:val="Heading3"/>
      </w:pPr>
      <w:r>
        <w:t xml:space="preserve">2-propanol</w:t>
      </w:r>
    </w:p>
    <w:p>
      <w:pPr>
        <w:pStyle w:val="FirstParagraph"/>
      </w:pPr>
      <w:r>
        <w:rPr>
          <w:b/>
          <w:bCs/>
        </w:rPr>
        <w:t xml:space="preserve">Identification</w:t>
      </w:r>
    </w:p>
    <w:p>
      <w:pPr>
        <w:pStyle w:val="Compact"/>
        <w:numPr>
          <w:ilvl w:val="0"/>
          <w:numId w:val="1009"/>
        </w:numPr>
      </w:pPr>
      <w:r>
        <w:t xml:space="preserve">N° CAS : 67-63-0</w:t>
      </w:r>
    </w:p>
    <w:p>
      <w:pPr>
        <w:pStyle w:val="Compact"/>
        <w:numPr>
          <w:ilvl w:val="0"/>
          <w:numId w:val="1009"/>
        </w:numPr>
      </w:pPr>
      <w:r>
        <w:t xml:space="preserve">N° EINECS : 200-661-7</w:t>
      </w:r>
    </w:p>
    <w:p>
      <w:pPr>
        <w:pStyle w:val="FirstParagraph"/>
      </w:pPr>
      <w:r>
        <w:rPr>
          <w:b/>
          <w:bCs/>
        </w:rPr>
        <w:t xml:space="preserve">Concentration</w:t>
      </w:r>
      <w:r>
        <w:t xml:space="preserve"> </w:t>
      </w:r>
      <w:r>
        <w:t xml:space="preserve">:from 3.0 to 10.0</w:t>
      </w:r>
    </w:p>
    <w:p>
      <w:pPr>
        <w:pStyle w:val="BodyText"/>
      </w:pPr>
      <w:r>
        <w:rPr>
          <w:b/>
          <w:bCs/>
        </w:rPr>
        <w:t xml:space="preserve">Dangers</w:t>
      </w:r>
      <w:r>
        <w:t xml:space="preserve"> </w:t>
      </w:r>
      <w:r>
        <w:t xml:space="preserve">:</w:t>
      </w:r>
    </w:p>
    <w:p>
      <w:pPr>
        <w:numPr>
          <w:ilvl w:val="0"/>
          <w:numId w:val="1010"/>
        </w:numPr>
      </w:pPr>
      <w:r>
        <w:t xml:space="preserve">H225</w:t>
      </w:r>
      <w:r>
        <w:t xml:space="preserve"> </w:t>
      </w:r>
      <w:r>
        <w:t xml:space="preserve">Liquide et vapeurs très inflammables.</w:t>
      </w:r>
    </w:p>
    <w:p>
      <w:pPr>
        <w:numPr>
          <w:ilvl w:val="0"/>
          <w:numId w:val="1010"/>
        </w:numPr>
      </w:pPr>
      <w:r>
        <w:t xml:space="preserve">H319</w:t>
      </w:r>
      <w:r>
        <w:t xml:space="preserve"> </w:t>
      </w:r>
      <w:r>
        <w:t xml:space="preserve">Provoque une sévère irritation des yeux.</w:t>
      </w:r>
    </w:p>
    <w:p>
      <w:pPr>
        <w:numPr>
          <w:ilvl w:val="0"/>
          <w:numId w:val="1010"/>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200.0 - VLE-8h (mg/m³) : 500.0 - VLE-15min (ppm) : 400.0 - VLE-15min (mg/m³) : 1000.0</w:t>
            </w:r>
          </w:p>
        </w:tc>
      </w:tr>
    </w:tbl>
    <w:bookmarkStart w:id="54" w:name="propriétés-2"/>
    <w:p>
      <w:pPr>
        <w:pStyle w:val="Heading4"/>
      </w:pPr>
      <w:r>
        <w:t xml:space="preserve">Propriétés</w:t>
      </w:r>
    </w:p>
    <w:p>
      <w:pPr>
        <w:pStyle w:val="FirstParagraph"/>
      </w:pPr>
      <w:hyperlink r:id="rId45">
        <w:r>
          <w:rPr>
            <w:rStyle w:val="Hyperlink"/>
            <w:color w:val="0856A0"/>
            <w:u w:val="single"/>
          </w:rPr>
          <w:t xml:space="preserve">Fiche n°66 - Propan-2-ol</w:t>
        </w:r>
      </w:hyperlink>
    </w:p>
    <w:p>
      <w:pPr>
        <w:numPr>
          <w:ilvl w:val="0"/>
          <w:numId w:val="1011"/>
        </w:numPr>
      </w:pPr>
      <w:hyperlink r:id="rId46">
        <w:r>
          <w:rPr>
            <w:rStyle w:val="Hyperlink"/>
            <w:color w:val="0856A0"/>
            <w:u w:val="single"/>
          </w:rPr>
          <w:t xml:space="preserve">Généralités</w:t>
        </w:r>
      </w:hyperlink>
    </w:p>
    <w:p>
      <w:pPr>
        <w:numPr>
          <w:ilvl w:val="0"/>
          <w:numId w:val="1011"/>
        </w:numPr>
      </w:pPr>
      <w:hyperlink r:id="rId47">
        <w:r>
          <w:rPr>
            <w:rStyle w:val="Hyperlink"/>
            <w:color w:val="0856A0"/>
            <w:u w:val="single"/>
          </w:rPr>
          <w:t xml:space="preserve">Caractéristiques</w:t>
        </w:r>
      </w:hyperlink>
    </w:p>
    <w:p>
      <w:pPr>
        <w:numPr>
          <w:ilvl w:val="0"/>
          <w:numId w:val="1011"/>
        </w:numPr>
      </w:pPr>
      <w:hyperlink r:id="rId48">
        <w:r>
          <w:rPr>
            <w:rStyle w:val="Hyperlink"/>
            <w:color w:val="0856A0"/>
            <w:u w:val="single"/>
          </w:rPr>
          <w:t xml:space="preserve">VLEPMesurage</w:t>
        </w:r>
      </w:hyperlink>
    </w:p>
    <w:p>
      <w:pPr>
        <w:numPr>
          <w:ilvl w:val="0"/>
          <w:numId w:val="1011"/>
        </w:numPr>
      </w:pPr>
      <w:hyperlink r:id="rId49">
        <w:r>
          <w:rPr>
            <w:rStyle w:val="Hyperlink"/>
            <w:color w:val="0856A0"/>
            <w:u w:val="single"/>
          </w:rPr>
          <w:t xml:space="preserve">Incendie - Explosion[16-18]</w:t>
        </w:r>
      </w:hyperlink>
    </w:p>
    <w:p>
      <w:pPr>
        <w:numPr>
          <w:ilvl w:val="0"/>
          <w:numId w:val="1011"/>
        </w:numPr>
      </w:pPr>
      <w:hyperlink r:id="rId50">
        <w:r>
          <w:rPr>
            <w:rStyle w:val="Hyperlink"/>
            <w:color w:val="0856A0"/>
            <w:u w:val="single"/>
          </w:rPr>
          <w:t xml:space="preserve">Pathologie - Toxicologie</w:t>
        </w:r>
      </w:hyperlink>
    </w:p>
    <w:p>
      <w:pPr>
        <w:numPr>
          <w:ilvl w:val="0"/>
          <w:numId w:val="1011"/>
        </w:numPr>
      </w:pPr>
      <w:hyperlink r:id="rId51">
        <w:r>
          <w:rPr>
            <w:rStyle w:val="Hyperlink"/>
            <w:color w:val="0856A0"/>
            <w:u w:val="single"/>
          </w:rPr>
          <w:t xml:space="preserve">Règlementation</w:t>
        </w:r>
      </w:hyperlink>
    </w:p>
    <w:p>
      <w:pPr>
        <w:numPr>
          <w:ilvl w:val="0"/>
          <w:numId w:val="1011"/>
        </w:numPr>
      </w:pPr>
      <w:hyperlink r:id="rId52">
        <w:r>
          <w:rPr>
            <w:rStyle w:val="Hyperlink"/>
            <w:color w:val="0856A0"/>
            <w:u w:val="single"/>
          </w:rPr>
          <w:t xml:space="preserve">Recommandations</w:t>
        </w:r>
      </w:hyperlink>
    </w:p>
    <w:p>
      <w:pPr>
        <w:numPr>
          <w:ilvl w:val="0"/>
          <w:numId w:val="1011"/>
        </w:numPr>
      </w:pPr>
      <w:hyperlink r:id="rId53">
        <w:r>
          <w:rPr>
            <w:rStyle w:val="Hyperlink"/>
            <w:color w:val="0856A0"/>
            <w:u w:val="single"/>
          </w:rPr>
          <w:t xml:space="preserve">Bibliographie</w:t>
        </w:r>
      </w:hyperlink>
    </w:p>
    <w:bookmarkEnd w:id="54"/>
    <w:bookmarkEnd w:id="55"/>
    <w:bookmarkEnd w:id="56"/>
    <w:bookmarkStart w:id="5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Gants: Le choix du matériau doit être adapté à la composition du produit (préparation contenant plusieurs substances). La résistance du matériau des gants ne peut pas être calculée à l’avance ; elle doit être vérifiée avant l’utilisation. Le temps de pénétration exact doit être déterminé par le fabricant des gants de protection et respecté. Aucune épaisseur ou type de gants (PVC, nitrile, etc.) n’est précisé dans le document.</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de protection sont recommandées pour le transvasement. Aucun écran facial ou protection faciale supplémentaire n’est mentionné.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Gants: Le choix du matériau doit être adapté à la composition du produit (préparation contenant plusieurs substances). La résistance du matériau des gants ne peut pas être calculée à l’avance ; elle doit être vérifiée avant l’utilisation. Le temps de pénétration exact doit être déterminé par le fabricant des gants de protection et respecté. Aucune épaisseur ou type de gants (PVC, nitrile, etc.) n’est précisé dans le document.</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Filtre respirateur est recommandé en cas d’exposition faible ou de courte durée. Appareil de respiration indépendant de l’air ambiant doit être utilisé en cas d’exposition intense ou durable. Aucun détail sur le type de filtre (P100, N95, etc.) ou sur l’épaisseur n’est fourni.</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Aucun vêtement de protection ou combinaison spécifique n’est mentionné dans la section 8.</w:t>
            </w:r>
          </w:p>
        </w:tc>
      </w:tr>
    </w:tbl>
    <w:bookmarkEnd w:id="57"/>
    <w:bookmarkStart w:id="5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Aucune mesure particulière n’est requise. Veiller à une bonne ventilation/aspiration du poste de travail et éviter le dégagement d’aérosols.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(section 7.2 : Conditions d’un stockage sûr, y compris d’éventuelles incompatibilités) - Conserver uniquement dans le fût d’origine. - Ne pas conserver avec des agents d’oxydation.</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Nettoyage de surface.</w:t>
            </w:r>
          </w:p>
        </w:tc>
      </w:tr>
    </w:tbl>
    <w:bookmarkEnd w:id="58"/>
    <w:bookmarkEnd w:id="5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32" Type="http://schemas.openxmlformats.org/officeDocument/2006/relationships/hyperlink" Target="https://www.inrs.fr/publications/bdd/fichetox/fiche.html?refINRS=FICHETOX_221" TargetMode="External"/><Relationship Id="rId35" Type="http://schemas.openxmlformats.org/officeDocument/2006/relationships/hyperlink" Target="https://www.inrs.fr/publications/bdd/fichetox/fiche.html?refINRS=FICHETOX_221&amp;section=VLEPMesurage" TargetMode="External"/><Relationship Id="rId40" Type="http://schemas.openxmlformats.org/officeDocument/2006/relationships/hyperlink" Target="https://www.inrs.fr/publications/bdd/fichetox/fiche.html?refINRS=FICHETOX_221&amp;section=bibliographieAuteurs" TargetMode="External"/><Relationship Id="rId34" Type="http://schemas.openxmlformats.org/officeDocument/2006/relationships/hyperlink" Target="https://www.inrs.fr/publications/bdd/fichetox/fiche.html?refINRS=FICHETOX_221&amp;section=caracteristiques" TargetMode="External"/><Relationship Id="rId33" Type="http://schemas.openxmlformats.org/officeDocument/2006/relationships/hyperlink" Target="https://www.inrs.fr/publications/bdd/fichetox/fiche.html?refINRS=FICHETOX_221&amp;section=generalites" TargetMode="External"/><Relationship Id="rId36" Type="http://schemas.openxmlformats.org/officeDocument/2006/relationships/hyperlink" Target="https://www.inrs.fr/publications/bdd/fichetox/fiche.html?refINRS=FICHETOX_221&amp;section=incendieExplosion" TargetMode="External"/><Relationship Id="rId37" Type="http://schemas.openxmlformats.org/officeDocument/2006/relationships/hyperlink" Target="https://www.inrs.fr/publications/bdd/fichetox/fiche.html?refINRS=FICHETOX_221&amp;section=pathologieToxicologie" TargetMode="External"/><Relationship Id="rId39" Type="http://schemas.openxmlformats.org/officeDocument/2006/relationships/hyperlink" Target="https://www.inrs.fr/publications/bdd/fichetox/fiche.html?refINRS=FICHETOX_221&amp;section=recommandations" TargetMode="External"/><Relationship Id="rId38" Type="http://schemas.openxmlformats.org/officeDocument/2006/relationships/hyperlink" Target="https://www.inrs.fr/publications/bdd/fichetox/fiche.html?refINRS=FICHETOX_221&amp;section=reglementation" TargetMode="External"/><Relationship Id="rId45" Type="http://schemas.openxmlformats.org/officeDocument/2006/relationships/hyperlink" Target="https://www.inrs.fr/publications/bdd/fichetox/fiche.html?refINRS=FICHETOX_66" TargetMode="External"/><Relationship Id="rId48" Type="http://schemas.openxmlformats.org/officeDocument/2006/relationships/hyperlink" Target="https://www.inrs.fr/publications/bdd/fichetox/fiche.html?refINRS=FICHETOX_66&amp;section=VLEPMesurage" TargetMode="External"/><Relationship Id="rId53" Type="http://schemas.openxmlformats.org/officeDocument/2006/relationships/hyperlink" Target="https://www.inrs.fr/publications/bdd/fichetox/fiche.html?refINRS=FICHETOX_66&amp;section=bibliographieAuteurs" TargetMode="External"/><Relationship Id="rId47" Type="http://schemas.openxmlformats.org/officeDocument/2006/relationships/hyperlink" Target="https://www.inrs.fr/publications/bdd/fichetox/fiche.html?refINRS=FICHETOX_66&amp;section=caracteristiques" TargetMode="External"/><Relationship Id="rId46" Type="http://schemas.openxmlformats.org/officeDocument/2006/relationships/hyperlink" Target="https://www.inrs.fr/publications/bdd/fichetox/fiche.html?refINRS=FICHETOX_66&amp;section=generalites" TargetMode="External"/><Relationship Id="rId49" Type="http://schemas.openxmlformats.org/officeDocument/2006/relationships/hyperlink" Target="https://www.inrs.fr/publications/bdd/fichetox/fiche.html?refINRS=FICHETOX_66&amp;section=incendieExplosion" TargetMode="External"/><Relationship Id="rId50" Type="http://schemas.openxmlformats.org/officeDocument/2006/relationships/hyperlink" Target="https://www.inrs.fr/publications/bdd/fichetox/fiche.html?refINRS=FICHETOX_66&amp;section=pathologieToxicologie" TargetMode="External"/><Relationship Id="rId52" Type="http://schemas.openxmlformats.org/officeDocument/2006/relationships/hyperlink" Target="https://www.inrs.fr/publications/bdd/fichetox/fiche.html?refINRS=FICHETOX_66&amp;section=recommandations" TargetMode="External"/><Relationship Id="rId51" Type="http://schemas.openxmlformats.org/officeDocument/2006/relationships/hyperlink" Target="https://www.inrs.fr/publications/bdd/fichetox/fiche.html?refINRS=FICHETOX_66&amp;section=reglementation" TargetMode="External"/></Relationships>
</file>

<file path=word/_rels/footnotes.xml.rels><?xml version='1.0' encoding='UTF-8' standalone='yes'?>
<Relationships xmlns="http://schemas.openxmlformats.org/package/2006/relationships"><Relationship Id="rId32" Type="http://schemas.openxmlformats.org/officeDocument/2006/relationships/hyperlink" Target="https://www.inrs.fr/publications/bdd/fichetox/fiche.html?refINRS=FICHETOX_221" TargetMode="External"/><Relationship Id="rId35" Type="http://schemas.openxmlformats.org/officeDocument/2006/relationships/hyperlink" Target="https://www.inrs.fr/publications/bdd/fichetox/fiche.html?refINRS=FICHETOX_221&amp;section=VLEPMesurage" TargetMode="External"/><Relationship Id="rId40" Type="http://schemas.openxmlformats.org/officeDocument/2006/relationships/hyperlink" Target="https://www.inrs.fr/publications/bdd/fichetox/fiche.html?refINRS=FICHETOX_221&amp;section=bibliographieAuteurs" TargetMode="External"/><Relationship Id="rId34" Type="http://schemas.openxmlformats.org/officeDocument/2006/relationships/hyperlink" Target="https://www.inrs.fr/publications/bdd/fichetox/fiche.html?refINRS=FICHETOX_221&amp;section=caracteristiques" TargetMode="External"/><Relationship Id="rId33" Type="http://schemas.openxmlformats.org/officeDocument/2006/relationships/hyperlink" Target="https://www.inrs.fr/publications/bdd/fichetox/fiche.html?refINRS=FICHETOX_221&amp;section=generalites" TargetMode="External"/><Relationship Id="rId36" Type="http://schemas.openxmlformats.org/officeDocument/2006/relationships/hyperlink" Target="https://www.inrs.fr/publications/bdd/fichetox/fiche.html?refINRS=FICHETOX_221&amp;section=incendieExplosion" TargetMode="External"/><Relationship Id="rId37" Type="http://schemas.openxmlformats.org/officeDocument/2006/relationships/hyperlink" Target="https://www.inrs.fr/publications/bdd/fichetox/fiche.html?refINRS=FICHETOX_221&amp;section=pathologieToxicologie" TargetMode="External"/><Relationship Id="rId39" Type="http://schemas.openxmlformats.org/officeDocument/2006/relationships/hyperlink" Target="https://www.inrs.fr/publications/bdd/fichetox/fiche.html?refINRS=FICHETOX_221&amp;section=recommandations" TargetMode="External"/><Relationship Id="rId38" Type="http://schemas.openxmlformats.org/officeDocument/2006/relationships/hyperlink" Target="https://www.inrs.fr/publications/bdd/fichetox/fiche.html?refINRS=FICHETOX_221&amp;section=reglementation" TargetMode="External"/><Relationship Id="rId45" Type="http://schemas.openxmlformats.org/officeDocument/2006/relationships/hyperlink" Target="https://www.inrs.fr/publications/bdd/fichetox/fiche.html?refINRS=FICHETOX_66" TargetMode="External"/><Relationship Id="rId48" Type="http://schemas.openxmlformats.org/officeDocument/2006/relationships/hyperlink" Target="https://www.inrs.fr/publications/bdd/fichetox/fiche.html?refINRS=FICHETOX_66&amp;section=VLEPMesurage" TargetMode="External"/><Relationship Id="rId53" Type="http://schemas.openxmlformats.org/officeDocument/2006/relationships/hyperlink" Target="https://www.inrs.fr/publications/bdd/fichetox/fiche.html?refINRS=FICHETOX_66&amp;section=bibliographieAuteurs" TargetMode="External"/><Relationship Id="rId47" Type="http://schemas.openxmlformats.org/officeDocument/2006/relationships/hyperlink" Target="https://www.inrs.fr/publications/bdd/fichetox/fiche.html?refINRS=FICHETOX_66&amp;section=caracteristiques" TargetMode="External"/><Relationship Id="rId46" Type="http://schemas.openxmlformats.org/officeDocument/2006/relationships/hyperlink" Target="https://www.inrs.fr/publications/bdd/fichetox/fiche.html?refINRS=FICHETOX_66&amp;section=generalites" TargetMode="External"/><Relationship Id="rId49" Type="http://schemas.openxmlformats.org/officeDocument/2006/relationships/hyperlink" Target="https://www.inrs.fr/publications/bdd/fichetox/fiche.html?refINRS=FICHETOX_66&amp;section=incendieExplosion" TargetMode="External"/><Relationship Id="rId50" Type="http://schemas.openxmlformats.org/officeDocument/2006/relationships/hyperlink" Target="https://www.inrs.fr/publications/bdd/fichetox/fiche.html?refINRS=FICHETOX_66&amp;section=pathologieToxicologie" TargetMode="External"/><Relationship Id="rId52" Type="http://schemas.openxmlformats.org/officeDocument/2006/relationships/hyperlink" Target="https://www.inrs.fr/publications/bdd/fichetox/fiche.html?refINRS=FICHETOX_66&amp;section=recommandations" TargetMode="External"/><Relationship Id="rId51" Type="http://schemas.openxmlformats.org/officeDocument/2006/relationships/hyperlink" Target="https://www.inrs.fr/publications/bdd/fichetox/fiche.html?refINRS=FICHETOX_6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2026-04-01T14:31:28Z</dcterms:created>
  <dcterms:modified xsi:type="dcterms:W3CDTF">2026-04-01T14:31:28Z</dcterms:modified>
</cp:coreProperties>
</file>

<file path=docProps/custom.xml><?xml version="1.0" encoding="utf-8"?>
<Properties xmlns="http://schemas.openxmlformats.org/officeDocument/2006/custom-properties" xmlns:vt="http://schemas.openxmlformats.org/officeDocument/2006/docPropsVTypes"/>
</file>