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caldic-calflockp-18nivelles-bdnok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Caldic Belgium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caldic-calflockp-18nivelles-bdnok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2" w:name="X8648ae1cec443c612f23947c42b88bddebd4140"/>
    <w:p>
      <w:pPr>
        <w:pStyle w:val="Heading1"/>
      </w:pPr>
      <w:r>
        <w:t xml:space="preserve">Analyse des dangers : caldic-calflockp-18nivelles-bdnok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caldic-calflockp-18nivelles-bdnok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Caldic Belgium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de l’eau.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2015-11-04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2015-11-04.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caldic-calflockp-18nivelles-bdnok devrait être classée H314 selon les dernières classifications harmonisées publiées par l’ECHA.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P234</w:t>
      </w:r>
      <w:r>
        <w:t xml:space="preserve"> </w:t>
      </w:r>
      <w:r>
        <w:t xml:space="preserve">Conserver uniquement dans le récipient d’origine.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5"/>
        </w:numPr>
      </w:pPr>
      <w:r>
        <w:t xml:space="preserve">P390</w:t>
      </w:r>
      <w:r>
        <w:t xml:space="preserve"> </w:t>
      </w:r>
      <w:r>
        <w:t xml:space="preserve">Absorber toute substance répandue pour éviter qu’elle attaque les matériaux environnants.</w:t>
      </w:r>
    </w:p>
    <w:p>
      <w:pPr>
        <w:numPr>
          <w:ilvl w:val="0"/>
          <w:numId w:val="1005"/>
        </w:numPr>
      </w:pPr>
      <w:r>
        <w:t xml:space="preserve">P406</w:t>
      </w:r>
      <w:r>
        <w:t xml:space="preserve"> </w:t>
      </w:r>
      <w:r>
        <w:t xml:space="preserve">Stocker dans un récipient résistant à la corrosion/récipient en … avec doublure intérieure résistant à la corrosion.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8</w:t>
      </w:r>
    </w:p>
    <w:p>
      <w:pPr>
        <w:pStyle w:val="Compact"/>
        <w:numPr>
          <w:ilvl w:val="0"/>
          <w:numId w:val="1006"/>
        </w:numPr>
      </w:pPr>
      <w:r>
        <w:t xml:space="preserve">RID : pas disponible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8</w:t>
      </w:r>
    </w:p>
    <w:p>
      <w:pPr>
        <w:pStyle w:val="Compact"/>
        <w:numPr>
          <w:ilvl w:val="0"/>
          <w:numId w:val="1006"/>
        </w:numPr>
      </w:pPr>
      <w:r>
        <w:t xml:space="preserve">IATA : 8</w:t>
      </w:r>
    </w:p>
    <w:p>
      <w:pPr>
        <w:pStyle w:val="Compact"/>
        <w:numPr>
          <w:ilvl w:val="0"/>
          <w:numId w:val="1006"/>
        </w:numPr>
      </w:pPr>
      <w:r>
        <w:t xml:space="preserve">UN : UN 3264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à l’eau et au savon.</w:t>
      </w:r>
      <w:r>
        <w:t xml:space="preserve"> </w:t>
      </w:r>
      <w:r>
        <w:t xml:space="preserve">Bien rincer.</w:t>
      </w:r>
      <w:r>
        <w:t xml:space="preserve"> </w:t>
      </w:r>
      <w:r>
        <w:t xml:space="preserve">En cas d’irritation persistante, consulter un médecin.</w:t>
      </w:r>
    </w:p>
    <w:p>
      <w:pPr>
        <w:pStyle w:val="BodyText"/>
      </w:pPr>
      <w:r>
        <w:t xml:space="preserve">eyes : Rincer les yeux pendant plusieurs minutes sous l’eau courante, en écartant bien les paupières.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ingestion : Rincer la bouche avec de l’eau froide.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Demander d’urgence une assistance médicale.</w:t>
      </w:r>
    </w:p>
    <w:p>
      <w:pPr>
        <w:pStyle w:val="BodyText"/>
      </w:pPr>
      <w:r>
        <w:t xml:space="preserve">inhalation : Donner de l’air frais.</w:t>
      </w:r>
      <w:r>
        <w:t xml:space="preserve"> </w:t>
      </w:r>
      <w:r>
        <w:t xml:space="preserve">Consulter un médecin en cas de troubles.</w:t>
      </w:r>
      <w:r>
        <w:t xml:space="preserve"> </w:t>
      </w:r>
      <w:r>
        <w:t xml:space="preserve">En cas d’inconscience, coucher la personne et la transporter en position latérale stable.</w:t>
      </w:r>
    </w:p>
    <w:p>
      <w:r>
        <w:br w:type="page"/>
      </w:r>
    </w:p>
    <w:bookmarkEnd w:id="34"/>
    <w:bookmarkStart w:id="3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eau-distillée"/>
    <w:p>
      <w:pPr>
        <w:pStyle w:val="Heading3"/>
      </w:pPr>
      <w:r>
        <w:t xml:space="preserve">Eau distillée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7732-18-5</w:t>
      </w:r>
    </w:p>
    <w:p>
      <w:pPr>
        <w:pStyle w:val="Compact"/>
        <w:numPr>
          <w:ilvl w:val="0"/>
          <w:numId w:val="1007"/>
        </w:numPr>
      </w:pPr>
      <w:r>
        <w:t xml:space="preserve">N° EINECS : 231-791-2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polyaluminiumchloride"/>
    <w:p>
      <w:pPr>
        <w:pStyle w:val="Heading3"/>
      </w:pPr>
      <w:r>
        <w:t xml:space="preserve">Polyaluminiumchloride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1327-41-9</w:t>
      </w:r>
    </w:p>
    <w:p>
      <w:pPr>
        <w:pStyle w:val="Compact"/>
        <w:numPr>
          <w:ilvl w:val="0"/>
          <w:numId w:val="1008"/>
        </w:numPr>
      </w:pPr>
      <w:r>
        <w:t xml:space="preserve">N° EINECS : 215-477-2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End w:id="39"/>
    <w:bookmarkStart w:id="4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néoprène ou PVC (selon EN 374). • Épaisseur : non précisée dans le document, mais doit être conforme à la norme EN 374 section 3 (taux 6). • Temps de pénétration : au moins 480 minutes (8 heures) pour le mélange de produits chimiques mentionné.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hermétiques conformes à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néoprène ou PVC (selon EN 374). • Épaisseur : non précisée dans le document, mais doit être conforme à la norme EN 374 section 3 (taux 6). • Temps de pénétration : au moins 480 minutes (8 heures) pour le mélange de produits chimiques mentionné.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Utiliser un appareil de protection respiratoire uniquement en cas de formation d’aérosol ou de brouillard. • Filtre : P2 (filtre à particules).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du corps • Vêtements de travail protecteurs (combinaisons) • Bottes</w:t>
            </w:r>
          </w:p>
        </w:tc>
      </w:tr>
    </w:tbl>
    <w:bookmarkEnd w:id="40"/>
    <w:bookmarkStart w:id="4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les récipients hermétiquement fermés. - Veiller à une bonne ventilation/aspiration du poste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(RUBRIQUE 7 : Conditions d’un stockage sûr, y compris d’éventuelles incompatibilités) - Exigences concernant les lieux et conteneurs de stockage : aucune exigence particulière. - Indications concernant le stockage commun : ne pas stocker avec des alcalis (lessives). - Autres indications sur les conditions de stockage : - Tenir les emballages hermétiquement fermés. - Stocker au frais et au sec dans des fûts bien fermés. - Protéger de la forte chaleur et du rayonnement direct du soleil. - Conserver les emballages dans un lieu bien aéré. - Température maximale de stockage : 30 °C. - Température minimale de stockage : 0 °C. Incompatibilités : - Bases fortes - Métaux - Chlorites - Fer (Fe) - Sulfite (Sulfiet)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de l’eau.</w:t>
            </w:r>
          </w:p>
        </w:tc>
      </w:tr>
    </w:tbl>
    <w:bookmarkEnd w:id="41"/>
    <w:bookmarkEnd w:id="4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2026-04-01T14:34:45Z</dcterms:created>
  <dcterms:modified xsi:type="dcterms:W3CDTF">2026-04-01T14:34:45Z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