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campingazc206cv2720cv300cv360cv470bwok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Camping Gaz (Schweiz) AG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campingazc206cv2720cv300cv360cv470bwok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6" w:name="X4f47a185b98079f01724218547208214422a31f"/>
    <w:p>
      <w:pPr>
        <w:pStyle w:val="Heading1"/>
      </w:pPr>
      <w:r>
        <w:t xml:space="preserve">Analyse des dangers : campingazc206cv2720cv300cv360cv470bwok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campingazc206cv2720cv300cv360cv470bwok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Camping Gaz (Schweiz) AG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gaz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Combustible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2017-03-09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2017-03-09. Elle a donc 9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butane devrait être classée H220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isobutane devrait être classée H220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propane devrait être classée H220 selon les dernières classifications harmonisées publiées par l’ECHA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5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5"/>
        </w:numPr>
      </w:pPr>
      <w:r>
        <w:t xml:space="preserve">P377</w:t>
      </w:r>
      <w:r>
        <w:t xml:space="preserve"> </w:t>
      </w:r>
      <w:r>
        <w:t xml:space="preserve">P377</w:t>
      </w:r>
    </w:p>
    <w:p>
      <w:pPr>
        <w:numPr>
          <w:ilvl w:val="0"/>
          <w:numId w:val="1005"/>
        </w:numPr>
      </w:pPr>
      <w:r>
        <w:t xml:space="preserve">P403</w:t>
      </w:r>
      <w:r>
        <w:t xml:space="preserve"> </w:t>
      </w:r>
      <w:r>
        <w:t xml:space="preserve">Stocker dans un endroit bien ventilé.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2.1</w:t>
      </w:r>
    </w:p>
    <w:p>
      <w:pPr>
        <w:pStyle w:val="Compact"/>
        <w:numPr>
          <w:ilvl w:val="0"/>
          <w:numId w:val="1006"/>
        </w:numPr>
      </w:pPr>
      <w:r>
        <w:t xml:space="preserve">RID : 2.1</w:t>
      </w:r>
    </w:p>
    <w:p>
      <w:pPr>
        <w:pStyle w:val="Compact"/>
        <w:numPr>
          <w:ilvl w:val="0"/>
          <w:numId w:val="1006"/>
        </w:numPr>
      </w:pPr>
      <w:r>
        <w:t xml:space="preserve">ADN : -</w:t>
      </w:r>
    </w:p>
    <w:p>
      <w:pPr>
        <w:pStyle w:val="Compact"/>
        <w:numPr>
          <w:ilvl w:val="0"/>
          <w:numId w:val="1006"/>
        </w:numPr>
      </w:pPr>
      <w:r>
        <w:t xml:space="preserve">IMDG : 2.1</w:t>
      </w:r>
    </w:p>
    <w:p>
      <w:pPr>
        <w:pStyle w:val="Compact"/>
        <w:numPr>
          <w:ilvl w:val="0"/>
          <w:numId w:val="1006"/>
        </w:numPr>
      </w:pPr>
      <w:r>
        <w:t xml:space="preserve">IATA : 2.1</w:t>
      </w:r>
    </w:p>
    <w:p>
      <w:pPr>
        <w:pStyle w:val="Compact"/>
        <w:numPr>
          <w:ilvl w:val="0"/>
          <w:numId w:val="1006"/>
        </w:numPr>
      </w:pPr>
      <w:r>
        <w:t xml:space="preserve">UN : 2037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En cas de gelures, laver abondamment à l’eau sans retirer les vêtements.</w:t>
      </w:r>
    </w:p>
    <w:p>
      <w:pPr>
        <w:pStyle w:val="BodyText"/>
      </w:pPr>
      <w:r>
        <w:t xml:space="preserve">eyes : • Rincer aussitôt et abondamment l’œil, en protégeant l’autre œil non atteint.</w:t>
      </w:r>
      <w:r>
        <w:t xml:space="preserve"> </w:t>
      </w:r>
      <w:r>
        <w:t xml:space="preserve">• Assurer un traitement médical.</w:t>
      </w:r>
    </w:p>
    <w:p>
      <w:pPr>
        <w:pStyle w:val="BodyText"/>
      </w:pPr>
      <w:r>
        <w:t xml:space="preserve">ingestion :</w:t>
      </w:r>
      <w:r>
        <w:t xml:space="preserve"> </w:t>
      </w:r>
      <w:r>
        <w:rPr>
          <w:i/>
          <w:iCs/>
        </w:rPr>
        <w:t xml:space="preserve">Aucune information disponible.</w:t>
      </w:r>
    </w:p>
    <w:p>
      <w:pPr>
        <w:pStyle w:val="BodyText"/>
      </w:pPr>
      <w:r>
        <w:t xml:space="preserve">inhalation : • Transporter la personne vers un endroit aéré et la faire étendre.</w:t>
      </w:r>
      <w:r>
        <w:t xml:space="preserve"> </w:t>
      </w:r>
      <w:r>
        <w:t xml:space="preserve">• Assurer un apport d’air frais.</w:t>
      </w:r>
      <w:r>
        <w:t xml:space="preserve"> </w:t>
      </w:r>
      <w:r>
        <w:t xml:space="preserve">• En cas de malaise, conduire le malade auprès d’un médecin.</w:t>
      </w:r>
    </w:p>
    <w:p>
      <w:r>
        <w:br w:type="page"/>
      </w:r>
    </w:p>
    <w:bookmarkEnd w:id="34"/>
    <w:bookmarkStart w:id="43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Xf7d622e9c5a93d88a5dd601db8575de7bf36e2d"/>
    <w:p>
      <w:pPr>
        <w:pStyle w:val="Heading3"/>
      </w:pPr>
      <w:r>
        <w:t xml:space="preserve">hydrocarbures riches en C3-4, distillat de pétrole Gaz de pétrole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68512-91-4</w:t>
      </w:r>
    </w:p>
    <w:p>
      <w:pPr>
        <w:pStyle w:val="Compact"/>
        <w:numPr>
          <w:ilvl w:val="0"/>
          <w:numId w:val="1007"/>
        </w:numPr>
      </w:pPr>
      <w:r>
        <w:t xml:space="preserve">N° EINECS : 270-990-9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100.0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8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butane"/>
    <w:p>
      <w:pPr>
        <w:pStyle w:val="Heading3"/>
      </w:pPr>
      <w:r>
        <w:t xml:space="preserve">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106-97-8</w:t>
      </w:r>
    </w:p>
    <w:p>
      <w:pPr>
        <w:pStyle w:val="Compact"/>
        <w:numPr>
          <w:ilvl w:val="0"/>
          <w:numId w:val="1009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0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Start w:id="40" w:name="isobutane"/>
    <w:p>
      <w:pPr>
        <w:pStyle w:val="Heading3"/>
      </w:pPr>
      <w:r>
        <w:t xml:space="preserve">isobutane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75-28-5</w:t>
      </w:r>
    </w:p>
    <w:p>
      <w:pPr>
        <w:pStyle w:val="Compact"/>
        <w:numPr>
          <w:ilvl w:val="0"/>
          <w:numId w:val="1011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2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3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9"/>
    <w:bookmarkEnd w:id="40"/>
    <w:bookmarkStart w:id="42" w:name="propane"/>
    <w:p>
      <w:pPr>
        <w:pStyle w:val="Heading3"/>
      </w:pPr>
      <w:r>
        <w:t xml:space="preserve">propane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74-98-6</w:t>
      </w:r>
    </w:p>
    <w:p>
      <w:pPr>
        <w:pStyle w:val="Compact"/>
        <w:numPr>
          <w:ilvl w:val="0"/>
          <w:numId w:val="1013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4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41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End w:id="43"/>
    <w:bookmarkStart w:id="44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44"/>
    <w:bookmarkStart w:id="45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 : - Même après usage, ne pas ouvrir ni brûler brusquement. - Prévoir un dispositif d’aspiration au niveau du sol pour les locaux fermés. - Utiliser uniquement dans des locaux bien ventilés. - Éviter les chocs, frottements et décharges électrostatiques ; risque d’inflammation ! - Observer les mesures de précaution usuelles propres à la manipulation de produits chimiques. - Assurer une bonne aération des locaux. - Éviter l’exposition – Avant l’emploi, lire les indications spécifiques. - Éviter d’inspirer les gazes. - Ne pas fumer, ne pas manger ni boire sur le lieu du travail. - Se laver les mains avant les pauses et au moment de quitter le travail. - Conserver à l’écart de toute source d’ignition – ne pas fumer. - Le récipient est sous pression ; mettre à l’abri du rayonnement solaire, la température ne doit pas être supérieure à 50 °C. - Les vapeurs peuvent en présence d’air former un mélange explosible. - Éviter les sources de chaleur. - Éviter l’accumulation de charges électrostatiques. - Protéger des fortes chaleurs et du rayonnement direct du soleil. - Conserver les récipients dans un endroit frais et bien ventilé.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 - Conserver hors de la portée des enfants. - Prévoir la ventilation des récipients. - Aire de stockage dotée d’une bonne aération. - Protéger des fortes chaleurs et du rayonnement direct du soleil. - Conserver les récipients dans un endroit frais et bien ventilé.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Combustible</w:t>
            </w:r>
          </w:p>
        </w:tc>
      </w:tr>
    </w:tbl>
    <w:bookmarkEnd w:id="45"/>
    <w:bookmarkEnd w:id="46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2026-04-01T14:37:08Z</dcterms:created>
  <dcterms:modified xsi:type="dcterms:W3CDTF">2026-04-01T14:37:08Z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