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candicar-antigellaveglace-20c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candicar-antigellaveglace-20c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3" w:name="Xd5e868fbb763e756f2117751ea713494f45aeec"/>
    <w:p>
      <w:pPr>
        <w:pStyle w:val="Heading1"/>
      </w:pPr>
      <w:r>
        <w:t xml:space="preserve">Analyse des dangers : candicar-antigellaveglace-20c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candicar-antigellaveglace-20c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7.00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l’automobile.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2020-02-27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2020-02-27. Elle a donc 6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P103</w:t>
      </w:r>
      <w:r>
        <w:t xml:space="preserve"> </w:t>
      </w:r>
      <w:r>
        <w:t xml:space="preserve">Lire l’étiquette avant utilisation.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P403+P235</w:t>
      </w:r>
      <w:r>
        <w:t xml:space="preserve"> </w:t>
      </w:r>
      <w:r>
        <w:t xml:space="preserve">Stocker dans un endroit bien ventilé. Tenir au frais.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3</w:t>
      </w:r>
    </w:p>
    <w:p>
      <w:pPr>
        <w:pStyle w:val="Compact"/>
        <w:numPr>
          <w:ilvl w:val="0"/>
          <w:numId w:val="1005"/>
        </w:numPr>
      </w:pPr>
      <w:r>
        <w:t xml:space="preserve">RID : Classe 3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Classe 3</w:t>
      </w:r>
    </w:p>
    <w:p>
      <w:pPr>
        <w:pStyle w:val="Compact"/>
        <w:numPr>
          <w:ilvl w:val="0"/>
          <w:numId w:val="1005"/>
        </w:numPr>
      </w:pPr>
      <w:r>
        <w:t xml:space="preserve">IATA : Classe 3</w:t>
      </w:r>
    </w:p>
    <w:p>
      <w:pPr>
        <w:pStyle w:val="Compact"/>
        <w:numPr>
          <w:ilvl w:val="0"/>
          <w:numId w:val="1005"/>
        </w:numPr>
      </w:pPr>
      <w:r>
        <w:t xml:space="preserve">UN : 1993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– Enlever immédiatement les vêtements contaminés.</w:t>
      </w:r>
      <w:r>
        <w:t xml:space="preserve"> </w:t>
      </w:r>
      <w:r>
        <w:t xml:space="preserve">– Laver soigneusement la peau avec de l’eau et du savon (ou un nettoyant connu).</w:t>
      </w:r>
    </w:p>
    <w:p>
      <w:pPr>
        <w:pStyle w:val="BodyText"/>
      </w:pPr>
      <w:r>
        <w:t xml:space="preserve">eyes : – Rincer abondamment les yeux avec de l’eau douce et propre pendant 15 minutes en maintenant les paupières écartées.</w:t>
      </w:r>
      <w:r>
        <w:t xml:space="preserve"> </w:t>
      </w:r>
      <w:r>
        <w:t xml:space="preserve">– Si une douleur, une rougeur ou une gêne visuelle apparaît, consulter un ophtalmologiste.</w:t>
      </w:r>
    </w:p>
    <w:p>
      <w:pPr>
        <w:pStyle w:val="BodyText"/>
      </w:pPr>
      <w:r>
        <w:t xml:space="preserve">ingestion : – Si l’ingestion est peu importante (pas plus d’une gorgée) : rincer la bouche avec de l’eau et consulter un médecin.</w:t>
      </w:r>
      <w:r>
        <w:t xml:space="preserve"> </w:t>
      </w:r>
      <w:r>
        <w:t xml:space="preserve">– Ne pas faire vomir.</w:t>
      </w:r>
      <w:r>
        <w:t xml:space="preserve"> </w:t>
      </w:r>
      <w:r>
        <w:t xml:space="preserve">– Garder le patient au repos et consulter un médecin en montrant l’étiquette.</w:t>
      </w:r>
      <w:r>
        <w:t xml:space="preserve"> </w:t>
      </w:r>
      <w:r>
        <w:t xml:space="preserve">– En cas d’ingestion accidentelle, appeler un médecin pour évaluer la nécessité d’une surveillance ou d’un traitement hospitalier.</w:t>
      </w:r>
    </w:p>
    <w:p>
      <w:pPr>
        <w:pStyle w:val="BodyText"/>
      </w:pPr>
      <w:r>
        <w:t xml:space="preserve">inhalation : – Pas de mesures spécifiques indiquées dans le document.</w:t>
      </w:r>
    </w:p>
    <w:p>
      <w:r>
        <w:br w:type="page"/>
      </w:r>
    </w:p>
    <w:bookmarkEnd w:id="37"/>
    <w:bookmarkStart w:id="6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ethyl-alcohol"/>
    <w:p>
      <w:pPr>
        <w:pStyle w:val="Heading3"/>
      </w:pPr>
      <w:r>
        <w:t xml:space="preserve">ETHYL ALCOHOL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81.0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propan-2-ol"/>
    <w:p>
      <w:pPr>
        <w:pStyle w:val="Heading3"/>
      </w:pPr>
      <w:r>
        <w:t xml:space="preserve">PROPAN-2-OL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67-63-0</w:t>
      </w:r>
    </w:p>
    <w:p>
      <w:pPr>
        <w:pStyle w:val="Compact"/>
        <w:numPr>
          <w:ilvl w:val="0"/>
          <w:numId w:val="1009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19.0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0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End w:id="60"/>
    <w:bookmarkStart w:id="6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caoutchouc nitrile (Copolymère butadiène-acrylonitrile, NBR). Norme : NF EN 374 (gants imperméables). Épaisseur : non précisée dans le document (seule la conformité à la norme NF EN 374 est mentionnée). Durée d’utilisation : non précisée, mais la sélection doit tenir compte de la durée d’utilisation au poste de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• Lunettes de protection à protection latérale conforme à la norme NF EN 166. Protection oculaire conque contre les projections de liquide. Écran facial (visière) à utiliser en cas de danger accru. Port de lunettes correctrices ne constitue pas une protection. Recommandation pour porteurs de lentilles de contact : utiliser des verres correcteurs lors des travaux exposés à des vapeurs irritantes.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caoutchouc nitrile (Copolymère butadiène-acrylonitrile, NBR). Norme : NF EN 374 (gants imperméables). Épaisseur : non précisée dans le document (seule la conformité à la norme NF EN 374 est mentionnée). Durée d’utilisation : non précisée, mais la sélection doit tenir compte de la durée d’utilisation au poste de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Le personnel portera un vêtement de travail régulièrement lavé. Après contact avec le produit, toutes les parties du corps souillées devront être lavées.</w:t>
            </w:r>
          </w:p>
        </w:tc>
      </w:tr>
    </w:tbl>
    <w:bookmarkEnd w:id="61"/>
    <w:bookmarkStart w:id="6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Se laver les mains après chaque utilisation. - Enlever et laver les vêtements contaminés avant réutilisation. - Assurer une ventilation adéquate, surtout dans les endroits clos. - Manipuler dans des zones bien ventilées. - Empêcher la création de concentrations inflammables ou explosives dans l’air et éviter les concentrations de vapeurs supérieures aux valeurs limites d’exposition professionnelle. - Éviter l’accumulation des charges électrostatiques avec des branchements sur la terre. - Le mélange peut se charger électrostatiquement : mettre toujours à la terre lors des transvasements. - Porter des chaussures et des vêtements antistatiques et réaliser les sols en matériau non‑conducteur. - Utiliser le mélange dans des locaux dépourvus de toute flamme nue ou autres sources d’ignition, et posséder un équipement électrique protégé. - Garder les emballages solidement fermés et les éloigner des sources de chaleur, d’étincelles et de flammes nues. - Ne pas utiliser des outils pouvant provoquer des étincelles. - Ne pas fumer. - Interdire l’accès aux personnes non autorisées. - Éviter le contact du mélange avec les yeux. - Les emballages entamés doivent être refermés soigneusement et conservés en position verticale.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(conformément aux informations fournies) :” - Conserver hors de la portée des enfants. - Garder le récipient bien fermé, dans un endroit sec et bien ventilé. - Éloigner le produit de toute source d’ignition, de chaleur et de lumière solaire directe. - Éviter l’accumulation de charges électrostatiques. - Le sol des locaux doit être imperméable et former une cuvette de rétention afin qu’en cas de déversement accidentel, le liquide ne puisse se répandre à l’extérieur. - Toujours conserver les emballages dans un matériau identique à celui d’origine et, si l’emballage est entamé, le refermer soigneusement et le conserver en position verticale. Incompatibilités potentielles :” - Tenir à l’écart de : - acides - agents oxydants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l’automobile.</w:t>
            </w:r>
          </w:p>
        </w:tc>
      </w:tr>
    </w:tbl>
    <w:bookmarkEnd w:id="62"/>
    <w:bookmarkEnd w:id="6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Relationship Id="rId49" Type="http://schemas.openxmlformats.org/officeDocument/2006/relationships/hyperlink" Target="https://www.inrs.fr/publications/bdd/fichetox/fiche.html?refINRS=FICHETOX_66" TargetMode="External"/><Relationship Id="rId52" Type="http://schemas.openxmlformats.org/officeDocument/2006/relationships/hyperlink" Target="https://www.inrs.fr/publications/bdd/fichetox/fiche.html?refINRS=FICHETOX_66&amp;section=VLEPMesurage" TargetMode="External"/><Relationship Id="rId57" Type="http://schemas.openxmlformats.org/officeDocument/2006/relationships/hyperlink" Target="https://www.inrs.fr/publications/bdd/fichetox/fiche.html?refINRS=FICHETOX_66&amp;section=bibliographieAuteurs" TargetMode="External"/><Relationship Id="rId51" Type="http://schemas.openxmlformats.org/officeDocument/2006/relationships/hyperlink" Target="https://www.inrs.fr/publications/bdd/fichetox/fiche.html?refINRS=FICHETOX_66&amp;section=caracteristiques" TargetMode="External"/><Relationship Id="rId50" Type="http://schemas.openxmlformats.org/officeDocument/2006/relationships/hyperlink" Target="https://www.inrs.fr/publications/bdd/fichetox/fiche.html?refINRS=FICHETOX_66&amp;section=generalites" TargetMode="External"/><Relationship Id="rId53" Type="http://schemas.openxmlformats.org/officeDocument/2006/relationships/hyperlink" Target="https://www.inrs.fr/publications/bdd/fichetox/fiche.html?refINRS=FICHETOX_66&amp;section=incendieExplosion" TargetMode="External"/><Relationship Id="rId54" Type="http://schemas.openxmlformats.org/officeDocument/2006/relationships/hyperlink" Target="https://www.inrs.fr/publications/bdd/fichetox/fiche.html?refINRS=FICHETOX_66&amp;section=pathologieToxicologie" TargetMode="External"/><Relationship Id="rId56" Type="http://schemas.openxmlformats.org/officeDocument/2006/relationships/hyperlink" Target="https://www.inrs.fr/publications/bdd/fichetox/fiche.html?refINRS=FICHETOX_66&amp;section=recommandations" TargetMode="External"/><Relationship Id="rId55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Relationship Id="rId49" Type="http://schemas.openxmlformats.org/officeDocument/2006/relationships/hyperlink" Target="https://www.inrs.fr/publications/bdd/fichetox/fiche.html?refINRS=FICHETOX_66" TargetMode="External"/><Relationship Id="rId52" Type="http://schemas.openxmlformats.org/officeDocument/2006/relationships/hyperlink" Target="https://www.inrs.fr/publications/bdd/fichetox/fiche.html?refINRS=FICHETOX_66&amp;section=VLEPMesurage" TargetMode="External"/><Relationship Id="rId57" Type="http://schemas.openxmlformats.org/officeDocument/2006/relationships/hyperlink" Target="https://www.inrs.fr/publications/bdd/fichetox/fiche.html?refINRS=FICHETOX_66&amp;section=bibliographieAuteurs" TargetMode="External"/><Relationship Id="rId51" Type="http://schemas.openxmlformats.org/officeDocument/2006/relationships/hyperlink" Target="https://www.inrs.fr/publications/bdd/fichetox/fiche.html?refINRS=FICHETOX_66&amp;section=caracteristiques" TargetMode="External"/><Relationship Id="rId50" Type="http://schemas.openxmlformats.org/officeDocument/2006/relationships/hyperlink" Target="https://www.inrs.fr/publications/bdd/fichetox/fiche.html?refINRS=FICHETOX_66&amp;section=generalites" TargetMode="External"/><Relationship Id="rId53" Type="http://schemas.openxmlformats.org/officeDocument/2006/relationships/hyperlink" Target="https://www.inrs.fr/publications/bdd/fichetox/fiche.html?refINRS=FICHETOX_66&amp;section=incendieExplosion" TargetMode="External"/><Relationship Id="rId54" Type="http://schemas.openxmlformats.org/officeDocument/2006/relationships/hyperlink" Target="https://www.inrs.fr/publications/bdd/fichetox/fiche.html?refINRS=FICHETOX_66&amp;section=pathologieToxicologie" TargetMode="External"/><Relationship Id="rId56" Type="http://schemas.openxmlformats.org/officeDocument/2006/relationships/hyperlink" Target="https://www.inrs.fr/publications/bdd/fichetox/fiche.html?refINRS=FICHETOX_66&amp;section=recommandations" TargetMode="External"/><Relationship Id="rId55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2026-04-01T14:41:23Z</dcterms:created>
  <dcterms:modified xsi:type="dcterms:W3CDTF">2026-04-01T14:41:23Z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