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candicar-goma9-e232llnok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Candicar Europe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candicar-goma9-e232llnok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0" w:name="X3f0a62ed38a434cd9869b73411808c138ca56e0"/>
    <w:p>
      <w:pPr>
        <w:pStyle w:val="Heading1"/>
      </w:pPr>
      <w:r>
        <w:t xml:space="preserve">Analyse des dangers : candicar-goma9-e232llnok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candicar-goma9-e232llnok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Candicar Europe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aérosol 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Rénovateur pour pneus et caoutchouc, destiné à un usage domestique et professionnel.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2017-04-14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2017-04-14.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classe 2-5F</w:t>
      </w:r>
    </w:p>
    <w:p>
      <w:pPr>
        <w:pStyle w:val="Compact"/>
        <w:numPr>
          <w:ilvl w:val="0"/>
          <w:numId w:val="1003"/>
        </w:numPr>
      </w:pPr>
      <w:r>
        <w:t xml:space="preserve">RID : classe 2-5F</w:t>
      </w:r>
    </w:p>
    <w:p>
      <w:pPr>
        <w:pStyle w:val="Compact"/>
        <w:numPr>
          <w:ilvl w:val="0"/>
          <w:numId w:val="1003"/>
        </w:numPr>
      </w:pPr>
      <w:r>
        <w:t xml:space="preserve">ADN : pas disponible</w:t>
      </w:r>
    </w:p>
    <w:p>
      <w:pPr>
        <w:pStyle w:val="Compact"/>
        <w:numPr>
          <w:ilvl w:val="0"/>
          <w:numId w:val="1003"/>
        </w:numPr>
      </w:pPr>
      <w:r>
        <w:t xml:space="preserve">IMDG : AEROSOLS UN 1950</w:t>
      </w:r>
    </w:p>
    <w:p>
      <w:pPr>
        <w:pStyle w:val="Compact"/>
        <w:numPr>
          <w:ilvl w:val="0"/>
          <w:numId w:val="1003"/>
        </w:numPr>
      </w:pPr>
      <w:r>
        <w:t xml:space="preserve">IATA : AEROSOLS UN 1950</w:t>
      </w:r>
    </w:p>
    <w:p>
      <w:pPr>
        <w:pStyle w:val="Compact"/>
        <w:numPr>
          <w:ilvl w:val="0"/>
          <w:numId w:val="1003"/>
        </w:numPr>
      </w:pPr>
      <w:r>
        <w:t xml:space="preserve">UN : 1950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Enlever immédiatement les vêtements contaminés.</w:t>
      </w:r>
      <w:r>
        <w:t xml:space="preserve"> </w:t>
      </w:r>
      <w:r>
        <w:t xml:space="preserve">• Laver soigneusement la peau avec de l’eau et du savon.</w:t>
      </w:r>
      <w:r>
        <w:t xml:space="preserve"> </w:t>
      </w:r>
      <w:r>
        <w:t xml:space="preserve">• Surveiller la zone ; si des lésions cutanées apparaissent ou si la zone est étendue, consulter un médecin ou se rendre à l’hôpital.</w:t>
      </w:r>
    </w:p>
    <w:p>
      <w:pPr>
        <w:pStyle w:val="BodyText"/>
      </w:pPr>
      <w:r>
        <w:t xml:space="preserve">eyes : • Laver abondamment les yeux avec de l’eau douce et propre pendant 15 min en maintenant les paupières écartées.</w:t>
      </w:r>
      <w:r>
        <w:t xml:space="preserve"> </w:t>
      </w:r>
      <w:r>
        <w:t xml:space="preserve">• En cas de douleur, rougeur ou gêne visuelle persistante, consulter un ophtalmologiste.</w:t>
      </w:r>
    </w:p>
    <w:p>
      <w:pPr>
        <w:pStyle w:val="BodyText"/>
      </w:pPr>
      <w:r>
        <w:t xml:space="preserve">ingestion : • Ne pas faire vomir.</w:t>
      </w:r>
      <w:r>
        <w:t xml:space="preserve"> </w:t>
      </w:r>
      <w:r>
        <w:t xml:space="preserve">• Rincer la bouche avec de l’eau.</w:t>
      </w:r>
      <w:r>
        <w:t xml:space="preserve"> </w:t>
      </w:r>
      <w:r>
        <w:t xml:space="preserve">• Si la quantité ingérée est petite (pas plus d’une gorgée), consulter un médecin.</w:t>
      </w:r>
      <w:r>
        <w:t xml:space="preserve"> </w:t>
      </w:r>
      <w:r>
        <w:t xml:space="preserve">• En cas d’ingestion accidentelle, appeler un médecin pour évaluer la nécessité d’une surveillance ou d’un traitement hospitalier, et montrer l’étiquette du produit.</w:t>
      </w:r>
    </w:p>
    <w:p>
      <w:pPr>
        <w:pStyle w:val="BodyText"/>
      </w:pPr>
      <w:r>
        <w:t xml:space="preserve">inhalation : • Faire respirer de l’air frais.</w:t>
      </w:r>
      <w:r>
        <w:t xml:space="preserve"> </w:t>
      </w:r>
      <w:r>
        <w:t xml:space="preserve">• Si l’inhalation est importante, déplacer la personne vers un endroit bien ventilé.</w:t>
      </w:r>
    </w:p>
    <w:p>
      <w:r>
        <w:br w:type="page"/>
      </w:r>
    </w:p>
    <w:bookmarkEnd w:id="31"/>
    <w:bookmarkStart w:id="47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hydrocarbure-solvant-aliphatique"/>
    <w:p>
      <w:pPr>
        <w:pStyle w:val="Heading3"/>
      </w:pPr>
      <w:r>
        <w:t xml:space="preserve">Hydrocarbure solvant (Aliphatique)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64742-48-9</w:t>
      </w:r>
    </w:p>
    <w:p>
      <w:pPr>
        <w:pStyle w:val="Compact"/>
        <w:numPr>
          <w:ilvl w:val="0"/>
          <w:numId w:val="1004"/>
        </w:numPr>
      </w:pPr>
      <w:r>
        <w:t xml:space="preserve">N° EINECS : 918-481-9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40.0 to 50.0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2">
        <w:r>
          <w:rPr>
            <w:rStyle w:val="Hyperlink"/>
            <w:color w:val="0856A0"/>
            <w:u w:val="single"/>
          </w:rPr>
          <w:t xml:space="preserve">Fiche n°325 - Solvants aliphatiques en C9-C20 désaromatisés</w:t>
        </w:r>
      </w:hyperlink>
    </w:p>
    <w:p>
      <w:pPr>
        <w:numPr>
          <w:ilvl w:val="0"/>
          <w:numId w:val="1006"/>
        </w:numPr>
      </w:pPr>
      <w:hyperlink r:id="rId3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6"/>
        </w:numPr>
      </w:pPr>
      <w:hyperlink r:id="rId3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6"/>
        </w:numPr>
      </w:pPr>
      <w:hyperlink r:id="rId3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6"/>
        </w:numPr>
      </w:pPr>
      <w:hyperlink r:id="rId36">
        <w:r>
          <w:rPr>
            <w:rStyle w:val="Hyperlink"/>
            <w:color w:val="0856A0"/>
            <w:u w:val="single"/>
          </w:rPr>
          <w:t xml:space="preserve">Incendie - Explosion[12-14]</w:t>
        </w:r>
      </w:hyperlink>
    </w:p>
    <w:p>
      <w:pPr>
        <w:numPr>
          <w:ilvl w:val="0"/>
          <w:numId w:val="1006"/>
        </w:numPr>
      </w:pPr>
      <w:hyperlink r:id="rId3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6"/>
        </w:numPr>
      </w:pPr>
      <w:hyperlink r:id="rId3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6"/>
        </w:numPr>
      </w:pPr>
      <w:hyperlink r:id="rId3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6"/>
        </w:numPr>
      </w:pPr>
      <w:hyperlink r:id="rId4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1"/>
    <w:bookmarkEnd w:id="42"/>
    <w:bookmarkStart w:id="44" w:name="butane"/>
    <w:p>
      <w:pPr>
        <w:pStyle w:val="Heading3"/>
      </w:pPr>
      <w:r>
        <w:t xml:space="preserve">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106-97-8</w:t>
      </w:r>
    </w:p>
    <w:p>
      <w:pPr>
        <w:pStyle w:val="Compact"/>
        <w:numPr>
          <w:ilvl w:val="0"/>
          <w:numId w:val="1007"/>
        </w:numPr>
      </w:pPr>
      <w:r>
        <w:t xml:space="preserve">N° EINECS : 203-448-7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8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43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3"/>
    <w:bookmarkEnd w:id="44"/>
    <w:bookmarkStart w:id="46" w:name="propane"/>
    <w:p>
      <w:pPr>
        <w:pStyle w:val="Heading3"/>
      </w:pPr>
      <w:r>
        <w:t xml:space="preserve">Propane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74-98-6</w:t>
      </w:r>
    </w:p>
    <w:p>
      <w:pPr>
        <w:pStyle w:val="Compact"/>
        <w:numPr>
          <w:ilvl w:val="0"/>
          <w:numId w:val="1009"/>
        </w:numPr>
      </w:pPr>
      <w:r>
        <w:t xml:space="preserve">N° EINECS : 200-827-9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0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</w:t>
            </w:r>
          </w:p>
        </w:tc>
      </w:tr>
    </w:tbl>
    <w:bookmarkStart w:id="45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5"/>
    <w:bookmarkEnd w:id="46"/>
    <w:bookmarkEnd w:id="47"/>
    <w:bookmarkStart w:id="48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Utiliser des gants de protection appropriés résistants aux agents chimiques conformes à la norme EN 374. • Type de gants conseillés : Caoutchouc nitrile (copolymère butadiène-acrylonitrile, NBR).• Matériau : Nitrile (NBR).• Norme de conformité : EN 374.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le contact avec les yeux.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Aucun équipement de protection respiratoire n’est requis dans des conditions normales d’utilisation prévue avec une ventilation adéquate.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48"/>
    <w:bookmarkStart w:id="49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laver les mains après chaque utilisation. - Enlever et laver les vêtements contaminés avant réutilisation. - Manipuler dans des zones bien ventilées. - Empêcher la création de concentrations inflammables ou explosives dans l’air. - Ne pas vaporiser vers une flamme ou un corps incandescent. - Ne pas percer ou brûler même après usage. - Utiliser le mélange dans des locaux dépourvus de toute flamme nue ou autres sources d’ignition. - Ne pas fumer.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hors de la portée des enfants. - Garder le récipient bien fermé, dans un endroit sec et bien ventilé. - Tenir éloigné de toute source d’ignition : ne pas fumer, ne pas exposer à des flammes nues, à des étincelles, à des surfaces chaudes ou à la chaleur. - Protéger le récipient contre les rayons solaires et ne pas l’exposer à une température supérieure à 50 °C. - Éviter toute exposition à des températures élevées et à la lumière directe du soleil. Incompatibilités potentielles:” - Le mélange est un aérosol inflammable ; il ne doit pas être mélangé ou stocké à proximité de substances combustibles, de sources d’ignition ou de matières susceptibles de réagir avec des solvants aliphatiques, du butane ou du propane. - Éviter le contact avec des substances qui pourraient provoquer une réaction chimique ou une dégradation du produit.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Rénovateur pour pneus et caoutchouc, destiné à un usage domestique et professionnel.</w:t>
            </w:r>
          </w:p>
        </w:tc>
      </w:tr>
    </w:tbl>
    <w:bookmarkEnd w:id="49"/>
    <w:bookmarkEnd w:id="50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2" Type="http://schemas.openxmlformats.org/officeDocument/2006/relationships/hyperlink" Target="https://www.inrs.fr/publications/bdd/fichetox/fiche.html?refINRS=FICHETOX_325" TargetMode="External"/><Relationship Id="rId35" Type="http://schemas.openxmlformats.org/officeDocument/2006/relationships/hyperlink" Target="https://www.inrs.fr/publications/bdd/fichetox/fiche.html?refINRS=FICHETOX_325&amp;section=VLEPMesurage" TargetMode="External"/><Relationship Id="rId40" Type="http://schemas.openxmlformats.org/officeDocument/2006/relationships/hyperlink" Target="https://www.inrs.fr/publications/bdd/fichetox/fiche.html?refINRS=FICHETOX_325&amp;section=bibliographieAuteurs" TargetMode="External"/><Relationship Id="rId34" Type="http://schemas.openxmlformats.org/officeDocument/2006/relationships/hyperlink" Target="https://www.inrs.fr/publications/bdd/fichetox/fiche.html?refINRS=FICHETOX_325&amp;section=caracteristiques" TargetMode="External"/><Relationship Id="rId33" Type="http://schemas.openxmlformats.org/officeDocument/2006/relationships/hyperlink" Target="https://www.inrs.fr/publications/bdd/fichetox/fiche.html?refINRS=FICHETOX_325&amp;section=generalites" TargetMode="External"/><Relationship Id="rId36" Type="http://schemas.openxmlformats.org/officeDocument/2006/relationships/hyperlink" Target="https://www.inrs.fr/publications/bdd/fichetox/fiche.html?refINRS=FICHETOX_325&amp;section=incendieExplosion" TargetMode="External"/><Relationship Id="rId37" Type="http://schemas.openxmlformats.org/officeDocument/2006/relationships/hyperlink" Target="https://www.inrs.fr/publications/bdd/fichetox/fiche.html?refINRS=FICHETOX_325&amp;section=pathologieToxicologie" TargetMode="External"/><Relationship Id="rId39" Type="http://schemas.openxmlformats.org/officeDocument/2006/relationships/hyperlink" Target="https://www.inrs.fr/publications/bdd/fichetox/fiche.html?refINRS=FICHETOX_325&amp;section=recommandations" TargetMode="External"/><Relationship Id="rId38" Type="http://schemas.openxmlformats.org/officeDocument/2006/relationships/hyperlink" Target="https://www.inrs.fr/publications/bdd/fichetox/fiche.html?refINRS=FICHETOX_325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2" Type="http://schemas.openxmlformats.org/officeDocument/2006/relationships/hyperlink" Target="https://www.inrs.fr/publications/bdd/fichetox/fiche.html?refINRS=FICHETOX_325" TargetMode="External"/><Relationship Id="rId35" Type="http://schemas.openxmlformats.org/officeDocument/2006/relationships/hyperlink" Target="https://www.inrs.fr/publications/bdd/fichetox/fiche.html?refINRS=FICHETOX_325&amp;section=VLEPMesurage" TargetMode="External"/><Relationship Id="rId40" Type="http://schemas.openxmlformats.org/officeDocument/2006/relationships/hyperlink" Target="https://www.inrs.fr/publications/bdd/fichetox/fiche.html?refINRS=FICHETOX_325&amp;section=bibliographieAuteurs" TargetMode="External"/><Relationship Id="rId34" Type="http://schemas.openxmlformats.org/officeDocument/2006/relationships/hyperlink" Target="https://www.inrs.fr/publications/bdd/fichetox/fiche.html?refINRS=FICHETOX_325&amp;section=caracteristiques" TargetMode="External"/><Relationship Id="rId33" Type="http://schemas.openxmlformats.org/officeDocument/2006/relationships/hyperlink" Target="https://www.inrs.fr/publications/bdd/fichetox/fiche.html?refINRS=FICHETOX_325&amp;section=generalites" TargetMode="External"/><Relationship Id="rId36" Type="http://schemas.openxmlformats.org/officeDocument/2006/relationships/hyperlink" Target="https://www.inrs.fr/publications/bdd/fichetox/fiche.html?refINRS=FICHETOX_325&amp;section=incendieExplosion" TargetMode="External"/><Relationship Id="rId37" Type="http://schemas.openxmlformats.org/officeDocument/2006/relationships/hyperlink" Target="https://www.inrs.fr/publications/bdd/fichetox/fiche.html?refINRS=FICHETOX_325&amp;section=pathologieToxicologie" TargetMode="External"/><Relationship Id="rId39" Type="http://schemas.openxmlformats.org/officeDocument/2006/relationships/hyperlink" Target="https://www.inrs.fr/publications/bdd/fichetox/fiche.html?refINRS=FICHETOX_325&amp;section=recommandations" TargetMode="External"/><Relationship Id="rId38" Type="http://schemas.openxmlformats.org/officeDocument/2006/relationships/hyperlink" Target="https://www.inrs.fr/publications/bdd/fichetox/fiche.html?refINRS=FICHETOX_325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2026-04-01T14:48:28Z</dcterms:created>
  <dcterms:modified xsi:type="dcterms:W3CDTF">2026-04-01T14:48:28Z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