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Relationship Id="rId3" Type="http://schemas.openxmlformats.org/package/2006/relationships/metadata/core-properties" Target="docProps/core.xml"/><Relationship Id="rId5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sdt>
      <w:sdtPr>
        <w:docPartObj>
          <w:docPartGallery w:val="Table of Contents"/>
          <w:docPartUnique/>
        </w:docPartObj>
      </w:sdtPr>
      <w:sdtContent>
        <w:p>
          <w:pPr>
            <w:pStyle w:val="TOCHeading"/>
          </w:pPr>
          <w:r>
            <w:t xml:space="preserve">Table of Contents</w:t>
          </w:r>
        </w:p>
        <w:p>
          <w:r>
            <w:fldChar w:fldCharType="begin" w:dirty="true"/>
            <w:instrText xml:space="preserve">TOC \o "1-3" \h \z \u</w:instrText>
            <w:fldChar w:fldCharType="separate"/>
            <w:fldChar w:fldCharType="end"/>
          </w:r>
        </w:p>
      </w:sdtContent>
    </w:sdt>
    <w:p>
      <w:r>
        <w:br w:type="page"/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0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3960"/>
        <w:gridCol w:w="3960"/>
      </w:tblGrid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Tilte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EmilIA – Analyse des dangers du produit candicar-nettoyant-textiles-a-effet-detachantrosok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Company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Candicar Europe S.A.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Date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2026-04-01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Version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Rev0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Auteur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Emilia 0.6.0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drawing>
                <wp:inline>
                  <wp:extent cx="2159999" cy="592098"/>
                  <wp:effectExtent b="0" l="0" r="0" t="0"/>
                  <wp:docPr descr="Modyva Logo" title="" id="21" name="Picture"/>
                  <a:graphic>
                    <a:graphicData uri="http://schemas.openxmlformats.org/drawingml/2006/picture">
                      <pic:pic>
                        <pic:nvPicPr>
                          <pic:cNvPr descr="templates/modyva.png" id="22" name="Picture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9999" cy="59209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drawing>
                <wp:inline>
                  <wp:extent cx="2159999" cy="848259"/>
                  <wp:effectExtent b="0" l="0" r="0" t="0"/>
                  <wp:docPr descr="Cohezio Logo" title="" id="24" name="Picture"/>
                  <a:graphic>
                    <a:graphicData uri="http://schemas.openxmlformats.org/drawingml/2006/picture">
                      <pic:pic>
                        <pic:nvPicPr>
                          <pic:cNvPr descr="templates/cohezio.png" id="25" name="Picture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9999" cy="84825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r>
        <w:br w:type="page"/>
      </w:r>
    </w:p>
    <w:bookmarkStart w:id="26" w:name="introduction"/>
    <w:p>
      <w:pPr>
        <w:pStyle w:val="Heading1"/>
      </w:pPr>
      <w:r>
        <w:t xml:space="preserve">Introduction</w:t>
      </w:r>
    </w:p>
    <w:p>
      <w:pPr>
        <w:pStyle w:val="FirstParagraph"/>
      </w:pPr>
      <w:r>
        <w:t xml:space="preserve">Le présent rapport analyse les dangers intrinsèques du produit</w:t>
      </w:r>
      <w:r>
        <w:t xml:space="preserve"> </w:t>
      </w:r>
      <w:r>
        <w:rPr>
          <w:b/>
          <w:bCs/>
        </w:rPr>
        <w:t xml:space="preserve">candicar-nettoyant-textiles-a-effet-detachantrosok</w:t>
      </w:r>
      <w:r>
        <w:t xml:space="preserve">.</w:t>
      </w:r>
    </w:p>
    <w:p>
      <w:pPr>
        <w:pStyle w:val="BodyText"/>
      </w:pPr>
      <w:r>
        <w:t xml:space="preserve">L’analyse vise à répondre aux questions suivantes :</w:t>
      </w:r>
    </w:p>
    <w:p>
      <w:pPr>
        <w:pStyle w:val="Compact"/>
        <w:numPr>
          <w:ilvl w:val="0"/>
          <w:numId w:val="1001"/>
        </w:numPr>
      </w:pPr>
      <w:r>
        <w:t xml:space="preserve">Quels sont les dangers associés au produit et à ses substances ?</w:t>
      </w:r>
    </w:p>
    <w:p>
      <w:pPr>
        <w:pStyle w:val="Compact"/>
        <w:numPr>
          <w:ilvl w:val="0"/>
          <w:numId w:val="1001"/>
        </w:numPr>
      </w:pPr>
      <w:r>
        <w:t xml:space="preserve">Les substances présentes sont-elles soumises à des valeurs limites d’exposition ou à des classifications particulières (CMR, SEVESO, …) ?</w:t>
      </w:r>
    </w:p>
    <w:p>
      <w:pPr>
        <w:pStyle w:val="Compact"/>
        <w:numPr>
          <w:ilvl w:val="0"/>
          <w:numId w:val="1001"/>
        </w:numPr>
      </w:pPr>
      <w:r>
        <w:t xml:space="preserve">Quels sont les dangers pour la santé connus pour ces différentes substances ?</w:t>
      </w:r>
    </w:p>
    <w:p>
      <w:pPr>
        <w:pStyle w:val="Compact"/>
        <w:numPr>
          <w:ilvl w:val="0"/>
          <w:numId w:val="1001"/>
        </w:numPr>
      </w:pPr>
      <w:r>
        <w:t xml:space="preserve">Est-ce que la FDS reçue présente potentiellement des erreurs (obsolescence, changements dans les classifications de l’ECHA, …) ?</w:t>
      </w:r>
    </w:p>
    <w:p>
      <w:pPr>
        <w:pStyle w:val="Compact"/>
        <w:numPr>
          <w:ilvl w:val="0"/>
          <w:numId w:val="1001"/>
        </w:numPr>
      </w:pPr>
      <w:r>
        <w:t xml:space="preserve">Quelles mesures de prévention doivent être envisagées lors de l’utilisation de ce produit ?</w:t>
      </w:r>
    </w:p>
    <w:p>
      <w:pPr>
        <w:pStyle w:val="FirstParagraph"/>
      </w:pPr>
      <w:r>
        <w:t xml:space="preserve">La fiche de données de sécurité (FDS) a été traitée à l’aide de l’outil d’intelligence artificielle</w:t>
      </w:r>
      <w:r>
        <w:t xml:space="preserve"> </w:t>
      </w:r>
      <w:r>
        <w:rPr>
          <w:b/>
          <w:bCs/>
        </w:rPr>
        <w:t xml:space="preserve">EmilIA</w:t>
      </w:r>
      <w:r>
        <w:t xml:space="preserve"> </w:t>
      </w:r>
      <w:r>
        <w:t xml:space="preserve">développé par</w:t>
      </w:r>
      <w:r>
        <w:t xml:space="preserve"> </w:t>
      </w:r>
      <w:r>
        <w:rPr>
          <w:b/>
          <w:bCs/>
        </w:rPr>
        <w:t xml:space="preserve">Modyva</w:t>
      </w:r>
      <w:r>
        <w:t xml:space="preserve">. Les résultats ont été revus et contrôlés par Modyva.</w:t>
      </w:r>
      <w:r>
        <w:br/>
      </w:r>
      <w:r>
        <w:t xml:space="preserve">L’analyse se limite à une analyse des dangers. L’exposition au risque basée sur les conditions réelles d’utilisation in-situ n’a pas été évaluée.</w:t>
      </w:r>
    </w:p>
    <w:p>
      <w:pPr>
        <w:pStyle w:val="BodyText"/>
      </w:pPr>
      <w:r>
        <w:t xml:space="preserve">Cette étude est basée sur les prescriptions et recommandations suivantes :</w:t>
      </w:r>
    </w:p>
    <w:p>
      <w:pPr>
        <w:pStyle w:val="Compact"/>
        <w:numPr>
          <w:ilvl w:val="0"/>
          <w:numId w:val="1002"/>
        </w:numPr>
      </w:pPr>
      <w:r>
        <w:t xml:space="preserve">LIVRE VI — Agents chimiques, cancérigènes, mutagènes et reprotoxiques</w:t>
      </w:r>
    </w:p>
    <w:p>
      <w:pPr>
        <w:pStyle w:val="Compact"/>
        <w:numPr>
          <w:ilvl w:val="0"/>
          <w:numId w:val="1002"/>
        </w:numPr>
      </w:pPr>
      <w:r>
        <w:t xml:space="preserve">Fiches toxicologiques de l’INRS</w:t>
      </w:r>
    </w:p>
    <w:p>
      <w:pPr>
        <w:pStyle w:val="Compact"/>
        <w:numPr>
          <w:ilvl w:val="0"/>
          <w:numId w:val="1002"/>
        </w:numPr>
      </w:pPr>
      <w:r>
        <w:t xml:space="preserve">Directive 2012/18/UE (SEVESO)</w:t>
      </w:r>
    </w:p>
    <w:p>
      <w:pPr>
        <w:pStyle w:val="Compact"/>
        <w:numPr>
          <w:ilvl w:val="0"/>
          <w:numId w:val="1002"/>
        </w:numPr>
      </w:pPr>
      <w:r>
        <w:t xml:space="preserve">Règlement (CE) 1272/2008 (CLP)</w:t>
      </w:r>
    </w:p>
    <w:p>
      <w:pPr>
        <w:pStyle w:val="Compact"/>
        <w:numPr>
          <w:ilvl w:val="0"/>
          <w:numId w:val="1002"/>
        </w:numPr>
      </w:pPr>
      <w:r>
        <w:t xml:space="preserve">Règlement (CE) 1907/2006 (REACH) — Annexe XVII / Annexe XIV</w:t>
      </w:r>
    </w:p>
    <w:p>
      <w:pPr>
        <w:pStyle w:val="Compact"/>
        <w:numPr>
          <w:ilvl w:val="0"/>
          <w:numId w:val="1002"/>
        </w:numPr>
      </w:pPr>
      <w:r>
        <w:t xml:space="preserve">Règlement (UE) 2019/1021 (POP)</w:t>
      </w:r>
    </w:p>
    <w:p>
      <w:pPr>
        <w:pStyle w:val="Compact"/>
        <w:numPr>
          <w:ilvl w:val="0"/>
          <w:numId w:val="1002"/>
        </w:numPr>
      </w:pPr>
      <w:r>
        <w:t xml:space="preserve">Règlement (UE) 528/2012 (Biocides)</w:t>
      </w:r>
    </w:p>
    <w:p>
      <w:r>
        <w:br w:type="page"/>
      </w:r>
    </w:p>
    <w:bookmarkEnd w:id="26"/>
    <w:bookmarkStart w:id="51" w:name="Xb3fc765aa37cd420d1fa3a94e79a8f813cb78e5"/>
    <w:p>
      <w:pPr>
        <w:pStyle w:val="Heading1"/>
      </w:pPr>
      <w:r>
        <w:t xml:space="preserve">Analyse des dangers : candicar-nettoyant-textiles-a-effet-detachantrosok</w:t>
      </w:r>
    </w:p>
    <w:p>
      <w:pPr>
        <w:pStyle w:val="FirstParagraph"/>
      </w:pPr>
      <w:r>
        <w:t xml:space="preserve">Dans la suite, nous détaillons les dangers associés au produit</w:t>
      </w:r>
      <w:r>
        <w:t xml:space="preserve"> </w:t>
      </w:r>
      <w:r>
        <w:rPr>
          <w:b/>
          <w:bCs/>
        </w:rPr>
        <w:t xml:space="preserve">candicar-nettoyant-textiles-a-effet-detachantrosok</w:t>
      </w:r>
      <w:r>
        <w:t xml:space="preserve">, les éléments potentiellement erronés ou obsolètes relevés dans la FDS, les classifications des différentes substances présentes et les protections individuelles à envisager.</w:t>
      </w:r>
    </w:p>
    <w:bookmarkStart w:id="27" w:name="X8dba009bd9247913838556218799ec0ac58d74c"/>
    <w:p>
      <w:pPr>
        <w:pStyle w:val="Heading2"/>
      </w:pPr>
      <w:r>
        <w:t xml:space="preserve">Remarques préalables relatives au contenu de la FDS</w:t>
      </w:r>
    </w:p>
    <w:tbl>
      <w:tblPr>
        <w:tblStyle w:val="TableGrid"/>
        <w:tblW w:type="auto" w:w="0"/>
        <w:jc w:val="lef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autofit"/>
      </w:tblPr>
      <w:tblGrid>
        <w:gridCol w:w="3960"/>
        <w:gridCol w:w="3960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Propriété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Fabriqué par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Candicar Europe S.A.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État physique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liquide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Forme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fluide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pH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9.00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Usage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Détergent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Date FDS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2018-04-18</w:t>
            </w:r>
          </w:p>
        </w:tc>
      </w:tr>
    </w:tbl>
    <w:p>
      <w:pPr>
        <w:pStyle w:val="BodyText"/>
      </w:pPr>
      <w:r>
        <w:t xml:space="preserve"> </w:t>
      </w:r>
      <w:r>
        <w:t xml:space="preserve">La FDS date du 2018-04-18. Elle a donc 7 an(s).</w:t>
      </w:r>
    </w:p>
    <w:p>
      <w:pPr>
        <w:pStyle w:val="BodyText"/>
      </w:pPr>
      <w:r>
        <w:t xml:space="preserve">La FDS ayant plus de 5 ans, il est</w:t>
      </w:r>
      <w:r>
        <w:t xml:space="preserve"> </w:t>
      </w:r>
      <w:r>
        <w:rPr>
          <w:i/>
          <w:iCs/>
        </w:rPr>
        <w:t xml:space="preserve">nécessaire</w:t>
      </w:r>
      <w:r>
        <w:t xml:space="preserve"> </w:t>
      </w:r>
      <w:r>
        <w:t xml:space="preserve">de demander au fournisseur de produire une FDS mise à jour.</w:t>
      </w:r>
    </w:p>
    <w:bookmarkEnd w:id="27"/>
    <w:bookmarkStart w:id="29" w:name="erreurs-de-classification"/>
    <w:p>
      <w:pPr>
        <w:pStyle w:val="Heading2"/>
      </w:pPr>
      <w:r>
        <w:t xml:space="preserve">Erreurs de classification</w:t>
      </w:r>
    </w:p>
    <w:bookmarkStart w:id="28" w:name="produit"/>
    <w:p>
      <w:pPr>
        <w:pStyle w:val="Heading3"/>
      </w:pPr>
      <w:r>
        <w:t xml:space="preserve">Produit</w:t>
      </w:r>
    </w:p>
    <w:p>
      <w:pPr>
        <w:pStyle w:val="FirstParagraph"/>
      </w:pPr>
      <w:r>
        <w:t xml:space="preserve">Emilia n’a pas identifié d’erreur de classification dans la FDS.</w:t>
      </w:r>
    </w:p>
    <w:bookmarkEnd w:id="28"/>
    <w:bookmarkEnd w:id="29"/>
    <w:bookmarkStart w:id="33" w:name="X8590ab4bbc4e90345d03c8c67bc0c03dd205453"/>
    <w:p>
      <w:pPr>
        <w:pStyle w:val="Heading2"/>
      </w:pPr>
      <w:r>
        <w:t xml:space="preserve">Dangers, conseils de prudence et classification pour le transport du produit</w:t>
      </w:r>
    </w:p>
    <w:p>
      <w:pPr>
        <w:pStyle w:val="FirstParagraph"/>
      </w:pPr>
      <w:r>
        <w:rPr>
          <w:b/>
          <w:bCs/>
        </w:rPr>
        <w:t xml:space="preserve">Mention d’avertissement</w:t>
      </w:r>
      <w:r>
        <w:t xml:space="preserve"> </w:t>
      </w:r>
      <w:r>
        <w:t xml:space="preserve">:</w:t>
      </w:r>
      <w:r>
        <w:t xml:space="preserve"> </w:t>
      </w:r>
      <w:r>
        <w:t xml:space="preserve">Attention</w:t>
      </w:r>
    </w:p>
    <w:p>
      <w:pPr>
        <w:pStyle w:val="BodyText"/>
      </w:pPr>
      <w:r>
        <w:rPr>
          <w:b/>
          <w:bCs/>
        </w:rPr>
        <w:t xml:space="preserve">Pictogrammes (SGH)</w:t>
      </w:r>
      <w:r>
        <w:t xml:space="preserve"> </w:t>
      </w:r>
      <w:r>
        <w:t xml:space="preserve">:</w:t>
      </w:r>
    </w:p>
    <w:p>
      <w:pPr>
        <w:pStyle w:val="BodyText"/>
      </w:pPr>
      <w:r>
        <w:drawing>
          <wp:inline>
            <wp:extent cx="719999" cy="719999"/>
            <wp:effectExtent b="0" l="0" r="0" t="0"/>
            <wp:docPr descr="Nocif / Irritant" title="" id="31" name="Picture"/>
            <a:graphic>
              <a:graphicData uri="http://schemas.openxmlformats.org/drawingml/2006/picture">
                <pic:pic>
                  <pic:nvPicPr>
                    <pic:cNvPr descr="templates/SGH07.png" id="32" name="Picture"/>
                    <pic:cNvPicPr>
                      <a:picLocks noChangeArrowheads="1"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999" cy="719999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Nocif / Irritant</w:t>
      </w:r>
    </w:p>
    <w:p>
      <w:pPr>
        <w:pStyle w:val="BodyText"/>
      </w:pPr>
      <w:r>
        <w:rPr>
          <w:b/>
          <w:bCs/>
        </w:rPr>
        <w:t xml:space="preserve">Mentions de danger</w:t>
      </w:r>
      <w:r>
        <w:t xml:space="preserve"> </w:t>
      </w:r>
      <w:r>
        <w:t xml:space="preserve">:</w:t>
      </w:r>
    </w:p>
    <w:p>
      <w:pPr>
        <w:numPr>
          <w:ilvl w:val="0"/>
          <w:numId w:val="1003"/>
        </w:numPr>
      </w:pPr>
      <w:r>
        <w:t xml:space="preserve">H315</w:t>
      </w:r>
      <w:r>
        <w:t xml:space="preserve"> </w:t>
      </w:r>
      <w:r>
        <w:t xml:space="preserve">Provoque une irritation cutanée.</w:t>
      </w:r>
    </w:p>
    <w:p>
      <w:pPr>
        <w:numPr>
          <w:ilvl w:val="0"/>
          <w:numId w:val="1003"/>
        </w:numPr>
      </w:pPr>
      <w:r>
        <w:t xml:space="preserve">H319</w:t>
      </w:r>
      <w:r>
        <w:t xml:space="preserve"> </w:t>
      </w:r>
      <w:r>
        <w:t xml:space="preserve">Provoque une sévère irritation des yeux.</w:t>
      </w:r>
    </w:p>
    <w:p>
      <w:pPr>
        <w:pStyle w:val="FirstParagraph"/>
      </w:pPr>
      <w:r>
        <w:rPr>
          <w:b/>
          <w:bCs/>
        </w:rPr>
        <w:t xml:space="preserve">Conseils de prudence</w:t>
      </w:r>
      <w:r>
        <w:t xml:space="preserve"> </w:t>
      </w:r>
      <w:r>
        <w:t xml:space="preserve">:</w:t>
      </w:r>
    </w:p>
    <w:p>
      <w:pPr>
        <w:numPr>
          <w:ilvl w:val="0"/>
          <w:numId w:val="1004"/>
        </w:numPr>
      </w:pPr>
      <w:r>
        <w:t xml:space="preserve">P101</w:t>
      </w:r>
      <w:r>
        <w:t xml:space="preserve"> </w:t>
      </w:r>
      <w:r>
        <w:t xml:space="preserve">En cas de consultation d’un médecin, garder à disposition le récipient ou l’étiquette.</w:t>
      </w:r>
    </w:p>
    <w:p>
      <w:pPr>
        <w:numPr>
          <w:ilvl w:val="0"/>
          <w:numId w:val="1004"/>
        </w:numPr>
      </w:pPr>
      <w:r>
        <w:t xml:space="preserve">P102</w:t>
      </w:r>
      <w:r>
        <w:t xml:space="preserve"> </w:t>
      </w:r>
      <w:r>
        <w:t xml:space="preserve">Tenir hors de portée des enfants.</w:t>
      </w:r>
    </w:p>
    <w:p>
      <w:pPr>
        <w:numPr>
          <w:ilvl w:val="0"/>
          <w:numId w:val="1004"/>
        </w:numPr>
      </w:pPr>
      <w:r>
        <w:t xml:space="preserve">P103</w:t>
      </w:r>
      <w:r>
        <w:t xml:space="preserve"> </w:t>
      </w:r>
      <w:r>
        <w:t xml:space="preserve">Lire l’étiquette avant utilisation.</w:t>
      </w:r>
    </w:p>
    <w:p>
      <w:pPr>
        <w:numPr>
          <w:ilvl w:val="0"/>
          <w:numId w:val="1004"/>
        </w:numPr>
      </w:pPr>
      <w:r>
        <w:t xml:space="preserve">P264</w:t>
      </w:r>
      <w:r>
        <w:t xml:space="preserve"> </w:t>
      </w:r>
      <w:r>
        <w:t xml:space="preserve">Se laver … soigneusement après manipulation.</w:t>
      </w:r>
    </w:p>
    <w:p>
      <w:pPr>
        <w:numPr>
          <w:ilvl w:val="0"/>
          <w:numId w:val="1004"/>
        </w:numPr>
      </w:pPr>
      <w:r>
        <w:t xml:space="preserve">P280</w:t>
      </w:r>
      <w:r>
        <w:t xml:space="preserve"> </w:t>
      </w:r>
      <w:r>
        <w:t xml:space="preserve">Porter des gants de protection/des vêtements de protection/un équipement de protection des yeux/ du visage.</w:t>
      </w:r>
    </w:p>
    <w:p>
      <w:pPr>
        <w:numPr>
          <w:ilvl w:val="0"/>
          <w:numId w:val="1004"/>
        </w:numPr>
      </w:pPr>
      <w:r>
        <w:t xml:space="preserve">P302+P352</w:t>
      </w:r>
      <w:r>
        <w:t xml:space="preserve"> </w:t>
      </w:r>
      <w:r>
        <w:t xml:space="preserve">EN CAS DE CONTACT AVEC LA PEAU:</w:t>
      </w:r>
    </w:p>
    <w:p>
      <w:pPr>
        <w:numPr>
          <w:ilvl w:val="0"/>
          <w:numId w:val="1004"/>
        </w:numPr>
      </w:pPr>
      <w:r>
        <w:t xml:space="preserve">P305+P351+P338</w:t>
      </w:r>
      <w:r>
        <w:t xml:space="preserve"> </w:t>
      </w:r>
      <w:r>
        <w:t xml:space="preserve">EN CAS DE CONTACT AVEC LES YEUX: rincer avec précaution à l’eau pendant plusieurs minutes. Enlever les lentilles de contact si la victime en porte et si elles peuvent être facilement enlevées. Continuer à rincer.</w:t>
      </w:r>
    </w:p>
    <w:p>
      <w:pPr>
        <w:numPr>
          <w:ilvl w:val="0"/>
          <w:numId w:val="1004"/>
        </w:numPr>
      </w:pPr>
      <w:r>
        <w:t xml:space="preserve">P332+P313</w:t>
      </w:r>
      <w:r>
        <w:t xml:space="preserve"> </w:t>
      </w:r>
      <w:r>
        <w:t xml:space="preserve">En cas d’irritation cutanée: consulter un médecin.</w:t>
      </w:r>
    </w:p>
    <w:p>
      <w:pPr>
        <w:numPr>
          <w:ilvl w:val="0"/>
          <w:numId w:val="1004"/>
        </w:numPr>
      </w:pPr>
      <w:r>
        <w:t xml:space="preserve">P337+P313</w:t>
      </w:r>
      <w:r>
        <w:t xml:space="preserve"> </w:t>
      </w:r>
      <w:r>
        <w:t xml:space="preserve">Si l’irritation oculaire persiste: consulter un médecin.</w:t>
      </w:r>
    </w:p>
    <w:p>
      <w:pPr>
        <w:numPr>
          <w:ilvl w:val="0"/>
          <w:numId w:val="1004"/>
        </w:numPr>
      </w:pPr>
      <w:r>
        <w:t xml:space="preserve">P362+P364</w:t>
      </w:r>
      <w:r>
        <w:t xml:space="preserve"> </w:t>
      </w:r>
      <w:r>
        <w:t xml:space="preserve">Enlever les vêtements contaminés et les laver avant réutilisation</w:t>
      </w:r>
    </w:p>
    <w:p>
      <w:pPr>
        <w:pStyle w:val="FirstParagraph"/>
      </w:pPr>
      <w:r>
        <w:rPr>
          <w:b/>
          <w:bCs/>
        </w:rPr>
        <w:t xml:space="preserve">Transport</w:t>
      </w:r>
      <w:r>
        <w:t xml:space="preserve"> </w:t>
      </w:r>
      <w:r>
        <w:t xml:space="preserve">:</w:t>
      </w:r>
    </w:p>
    <w:p>
      <w:pPr>
        <w:pStyle w:val="Compact"/>
        <w:numPr>
          <w:ilvl w:val="0"/>
          <w:numId w:val="1005"/>
        </w:numPr>
      </w:pPr>
      <w:r>
        <w:t xml:space="preserve">ADR : -</w:t>
      </w:r>
    </w:p>
    <w:p>
      <w:pPr>
        <w:pStyle w:val="Compact"/>
        <w:numPr>
          <w:ilvl w:val="0"/>
          <w:numId w:val="1005"/>
        </w:numPr>
      </w:pPr>
      <w:r>
        <w:t xml:space="preserve">RID : -</w:t>
      </w:r>
    </w:p>
    <w:p>
      <w:pPr>
        <w:pStyle w:val="Compact"/>
        <w:numPr>
          <w:ilvl w:val="0"/>
          <w:numId w:val="1005"/>
        </w:numPr>
      </w:pPr>
      <w:r>
        <w:t xml:space="preserve">ADN : -</w:t>
      </w:r>
    </w:p>
    <w:p>
      <w:pPr>
        <w:pStyle w:val="Compact"/>
        <w:numPr>
          <w:ilvl w:val="0"/>
          <w:numId w:val="1005"/>
        </w:numPr>
      </w:pPr>
      <w:r>
        <w:t xml:space="preserve">IMDG : -</w:t>
      </w:r>
    </w:p>
    <w:p>
      <w:pPr>
        <w:pStyle w:val="Compact"/>
        <w:numPr>
          <w:ilvl w:val="0"/>
          <w:numId w:val="1005"/>
        </w:numPr>
      </w:pPr>
      <w:r>
        <w:t xml:space="preserve">IATA : -</w:t>
      </w:r>
    </w:p>
    <w:p>
      <w:pPr>
        <w:pStyle w:val="Compact"/>
        <w:numPr>
          <w:ilvl w:val="0"/>
          <w:numId w:val="1005"/>
        </w:numPr>
      </w:pPr>
      <w:r>
        <w:t xml:space="preserve">UN : -</w:t>
      </w:r>
    </w:p>
    <w:bookmarkEnd w:id="33"/>
    <w:bookmarkStart w:id="34" w:name="Xda6f178de632779b007ca26fa4959a763d2c7f4"/>
    <w:p>
      <w:pPr>
        <w:pStyle w:val="Heading2"/>
      </w:pPr>
      <w:r>
        <w:t xml:space="preserve">Dangers et/ou mesures par voie d’exposition</w:t>
      </w:r>
    </w:p>
    <w:p>
      <w:pPr>
        <w:pStyle w:val="FirstParagraph"/>
      </w:pPr>
      <w:r>
        <w:t xml:space="preserve">skin : 1. Enlever immédiatement les vêtements contaminés.</w:t>
      </w:r>
      <w:r>
        <w:t xml:space="preserve"> </w:t>
      </w:r>
      <w:r>
        <w:t xml:space="preserve">2. Laver soigneusement la peau avec de l’eau et du savon ou un nettoyant connu.</w:t>
      </w:r>
      <w:r>
        <w:t xml:space="preserve"> </w:t>
      </w:r>
      <w:r>
        <w:t xml:space="preserve">3. Prendre garde aux résidus pouvant rester entre la peau et les vêtements, la montre, les chaussures, etc.</w:t>
      </w:r>
      <w:r>
        <w:t xml:space="preserve"> </w:t>
      </w:r>
      <w:r>
        <w:t xml:space="preserve">4. Si la zone contaminée est étendue ou si des lésions cutanées apparaissent, consulter un médecin ou se faire transférer en milieu hospitalier.</w:t>
      </w:r>
    </w:p>
    <w:p>
      <w:pPr>
        <w:pStyle w:val="BodyText"/>
      </w:pPr>
      <w:r>
        <w:t xml:space="preserve">eyes : 1. Rincer abondamment les yeux avec de l’eau douce et propre pendant 15 minutes en maintenant les paupières écartées.</w:t>
      </w:r>
      <w:r>
        <w:t xml:space="preserve"> </w:t>
      </w:r>
      <w:r>
        <w:t xml:space="preserve">2. Si douleur, rougeur ou gêne visuelle persistent, consulter un ophtalmologiste.</w:t>
      </w:r>
    </w:p>
    <w:p>
      <w:pPr>
        <w:pStyle w:val="BodyText"/>
      </w:pPr>
      <w:r>
        <w:t xml:space="preserve">ingestion : 1. Ne rien faire absorber par la bouche.</w:t>
      </w:r>
      <w:r>
        <w:t xml:space="preserve"> </w:t>
      </w:r>
      <w:r>
        <w:t xml:space="preserve">2. Si l’ingestion est peu importante (pas plus d’une gorgée), rincer la bouche avec de l’eau et consulter un médecin.</w:t>
      </w:r>
      <w:r>
        <w:t xml:space="preserve"> </w:t>
      </w:r>
      <w:r>
        <w:t xml:space="preserve">3. En cas d’ingestion, appeler immédiatement un médecin et lui montrer l’étiquette.</w:t>
      </w:r>
    </w:p>
    <w:p>
      <w:pPr>
        <w:pStyle w:val="BodyText"/>
      </w:pPr>
      <w:r>
        <w:t xml:space="preserve">inhalation :</w:t>
      </w:r>
      <w:r>
        <w:t xml:space="preserve"> </w:t>
      </w:r>
      <w:r>
        <w:rPr>
          <w:i/>
          <w:iCs/>
        </w:rPr>
        <w:t xml:space="preserve">Aucune mesure spécifique de premiers secours n’est indiquée dans le document.</w:t>
      </w:r>
    </w:p>
    <w:p>
      <w:r>
        <w:br w:type="page"/>
      </w:r>
    </w:p>
    <w:bookmarkEnd w:id="34"/>
    <w:bookmarkStart w:id="48" w:name="Xd3fd47f9279b52cc9d4b00e07bdfde0bea6594f"/>
    <w:p>
      <w:pPr>
        <w:pStyle w:val="Heading2"/>
      </w:pPr>
      <w:r>
        <w:t xml:space="preserve">Informations relatives aux substances dangereuses présentes</w:t>
      </w:r>
    </w:p>
    <w:bookmarkStart w:id="36" w:name="propa-ne-2-ol"/>
    <w:p>
      <w:pPr>
        <w:pStyle w:val="Heading3"/>
      </w:pPr>
      <w:r>
        <w:t xml:space="preserve">PROPA NE-2-OL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06"/>
        </w:numPr>
      </w:pPr>
      <w:r>
        <w:t xml:space="preserve">N° CAS : 10213-79-3</w:t>
      </w:r>
    </w:p>
    <w:p>
      <w:pPr>
        <w:pStyle w:val="Compact"/>
        <w:numPr>
          <w:ilvl w:val="0"/>
          <w:numId w:val="1006"/>
        </w:numPr>
      </w:pPr>
      <w:r>
        <w:t xml:space="preserve">N° EINECS : 229-912-9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:from 0.0 to 0.0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pStyle w:val="BodyText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</w:tbl>
    <w:bookmarkStart w:id="35" w:name="propriétés"/>
    <w:p>
      <w:pPr>
        <w:pStyle w:val="Heading4"/>
      </w:pPr>
      <w:r>
        <w:t xml:space="preserve">Propriétés</w:t>
      </w:r>
    </w:p>
    <w:p>
      <w:pPr>
        <w:pStyle w:val="FirstParagraph"/>
      </w:pPr>
      <w:r>
        <w:t xml:space="preserve">Pas d’informations disponible.</w:t>
      </w:r>
    </w:p>
    <w:bookmarkEnd w:id="35"/>
    <w:bookmarkEnd w:id="36"/>
    <w:bookmarkStart w:id="47" w:name="metasilicate-de-sodium-pentahydrate"/>
    <w:p>
      <w:pPr>
        <w:pStyle w:val="Heading3"/>
      </w:pPr>
      <w:r>
        <w:t xml:space="preserve">METASILICATE DE SODIUM, PENTAHYDRATE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07"/>
        </w:numPr>
      </w:pPr>
      <w:r>
        <w:t xml:space="preserve">N° CAS : 67-63-0</w:t>
      </w:r>
    </w:p>
    <w:p>
      <w:pPr>
        <w:pStyle w:val="Compact"/>
        <w:numPr>
          <w:ilvl w:val="0"/>
          <w:numId w:val="1007"/>
        </w:numPr>
      </w:pPr>
      <w:r>
        <w:t xml:space="preserve">N° EINECS : 200-661-7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:from 2.5 to 10.0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numPr>
          <w:ilvl w:val="0"/>
          <w:numId w:val="1008"/>
        </w:numPr>
      </w:pPr>
      <w:r>
        <w:t xml:space="preserve">H225</w:t>
      </w:r>
      <w:r>
        <w:t xml:space="preserve"> </w:t>
      </w:r>
      <w:r>
        <w:t xml:space="preserve">Liquide et vapeurs très inflammables.</w:t>
      </w:r>
    </w:p>
    <w:p>
      <w:pPr>
        <w:numPr>
          <w:ilvl w:val="0"/>
          <w:numId w:val="1008"/>
        </w:numPr>
      </w:pPr>
      <w:r>
        <w:t xml:space="preserve">H290</w:t>
      </w:r>
      <w:r>
        <w:t xml:space="preserve"> </w:t>
      </w:r>
      <w:r>
        <w:t xml:space="preserve">Peut être corrosif pour les métaux.</w:t>
      </w:r>
    </w:p>
    <w:p>
      <w:pPr>
        <w:numPr>
          <w:ilvl w:val="0"/>
          <w:numId w:val="1008"/>
        </w:numPr>
      </w:pPr>
      <w:r>
        <w:t xml:space="preserve">H314</w:t>
      </w:r>
      <w:r>
        <w:t xml:space="preserve"> </w:t>
      </w:r>
      <w:r>
        <w:t xml:space="preserve">Provoque des brûlures de la peau et des lésions oculaires graves.</w:t>
      </w:r>
    </w:p>
    <w:p>
      <w:pPr>
        <w:numPr>
          <w:ilvl w:val="0"/>
          <w:numId w:val="1008"/>
        </w:numPr>
      </w:pPr>
      <w:r>
        <w:t xml:space="preserve">H319</w:t>
      </w:r>
      <w:r>
        <w:t xml:space="preserve"> </w:t>
      </w:r>
      <w:r>
        <w:t xml:space="preserve">Provoque une sévère irritation des yeux.</w:t>
      </w:r>
    </w:p>
    <w:p>
      <w:pPr>
        <w:numPr>
          <w:ilvl w:val="0"/>
          <w:numId w:val="1008"/>
        </w:numPr>
      </w:pPr>
      <w:r>
        <w:t xml:space="preserve">H335</w:t>
      </w:r>
      <w:r>
        <w:t xml:space="preserve"> </w:t>
      </w:r>
      <w:r>
        <w:t xml:space="preserve">Peut irriter les voies respiratoires.</w:t>
      </w:r>
    </w:p>
    <w:p>
      <w:pPr>
        <w:numPr>
          <w:ilvl w:val="0"/>
          <w:numId w:val="1008"/>
        </w:numPr>
      </w:pPr>
      <w:r>
        <w:t xml:space="preserve">H336</w:t>
      </w:r>
      <w:r>
        <w:t xml:space="preserve"> </w:t>
      </w:r>
      <w:r>
        <w:t xml:space="preserve">Peut provoquer somnolence ou vertiges.</w:t>
      </w:r>
    </w:p>
    <w:p>
      <w:pPr>
        <w:pStyle w:val="FirstParagraph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Oui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Oui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VLE-8h (ppm) : 200.0 - VLE-8h (mg/m³) : 500.0 - VLE-15min (ppm) : 400.0 - VLE-15min (mg/m³) : 1000.0</w:t>
            </w:r>
          </w:p>
        </w:tc>
      </w:tr>
    </w:tbl>
    <w:bookmarkStart w:id="46" w:name="propriétés-1"/>
    <w:p>
      <w:pPr>
        <w:pStyle w:val="Heading4"/>
      </w:pPr>
      <w:r>
        <w:t xml:space="preserve">Propriétés</w:t>
      </w:r>
    </w:p>
    <w:p>
      <w:pPr>
        <w:pStyle w:val="FirstParagraph"/>
      </w:pPr>
      <w:hyperlink r:id="rId37">
        <w:r>
          <w:rPr>
            <w:rStyle w:val="Hyperlink"/>
            <w:color w:val="0856A0"/>
            <w:u w:val="single"/>
          </w:rPr>
          <w:t xml:space="preserve">Fiche n°66 - Propan-2-ol</w:t>
        </w:r>
      </w:hyperlink>
    </w:p>
    <w:p>
      <w:pPr>
        <w:numPr>
          <w:ilvl w:val="0"/>
          <w:numId w:val="1009"/>
        </w:numPr>
      </w:pPr>
      <w:hyperlink r:id="rId38">
        <w:r>
          <w:rPr>
            <w:rStyle w:val="Hyperlink"/>
            <w:color w:val="0856A0"/>
            <w:u w:val="single"/>
          </w:rPr>
          <w:t xml:space="preserve">Généralités</w:t>
        </w:r>
      </w:hyperlink>
    </w:p>
    <w:p>
      <w:pPr>
        <w:numPr>
          <w:ilvl w:val="0"/>
          <w:numId w:val="1009"/>
        </w:numPr>
      </w:pPr>
      <w:hyperlink r:id="rId39">
        <w:r>
          <w:rPr>
            <w:rStyle w:val="Hyperlink"/>
            <w:color w:val="0856A0"/>
            <w:u w:val="single"/>
          </w:rPr>
          <w:t xml:space="preserve">Caractéristiques</w:t>
        </w:r>
      </w:hyperlink>
    </w:p>
    <w:p>
      <w:pPr>
        <w:numPr>
          <w:ilvl w:val="0"/>
          <w:numId w:val="1009"/>
        </w:numPr>
      </w:pPr>
      <w:hyperlink r:id="rId40">
        <w:r>
          <w:rPr>
            <w:rStyle w:val="Hyperlink"/>
            <w:color w:val="0856A0"/>
            <w:u w:val="single"/>
          </w:rPr>
          <w:t xml:space="preserve">VLEPMesurage</w:t>
        </w:r>
      </w:hyperlink>
    </w:p>
    <w:p>
      <w:pPr>
        <w:numPr>
          <w:ilvl w:val="0"/>
          <w:numId w:val="1009"/>
        </w:numPr>
      </w:pPr>
      <w:hyperlink r:id="rId41">
        <w:r>
          <w:rPr>
            <w:rStyle w:val="Hyperlink"/>
            <w:color w:val="0856A0"/>
            <w:u w:val="single"/>
          </w:rPr>
          <w:t xml:space="preserve">Incendie - Explosion[16-18]</w:t>
        </w:r>
      </w:hyperlink>
    </w:p>
    <w:p>
      <w:pPr>
        <w:numPr>
          <w:ilvl w:val="0"/>
          <w:numId w:val="1009"/>
        </w:numPr>
      </w:pPr>
      <w:hyperlink r:id="rId42">
        <w:r>
          <w:rPr>
            <w:rStyle w:val="Hyperlink"/>
            <w:color w:val="0856A0"/>
            <w:u w:val="single"/>
          </w:rPr>
          <w:t xml:space="preserve">Pathologie - Toxicologie</w:t>
        </w:r>
      </w:hyperlink>
    </w:p>
    <w:p>
      <w:pPr>
        <w:numPr>
          <w:ilvl w:val="0"/>
          <w:numId w:val="1009"/>
        </w:numPr>
      </w:pPr>
      <w:hyperlink r:id="rId43">
        <w:r>
          <w:rPr>
            <w:rStyle w:val="Hyperlink"/>
            <w:color w:val="0856A0"/>
            <w:u w:val="single"/>
          </w:rPr>
          <w:t xml:space="preserve">Règlementation</w:t>
        </w:r>
      </w:hyperlink>
    </w:p>
    <w:p>
      <w:pPr>
        <w:numPr>
          <w:ilvl w:val="0"/>
          <w:numId w:val="1009"/>
        </w:numPr>
      </w:pPr>
      <w:hyperlink r:id="rId44">
        <w:r>
          <w:rPr>
            <w:rStyle w:val="Hyperlink"/>
            <w:color w:val="0856A0"/>
            <w:u w:val="single"/>
          </w:rPr>
          <w:t xml:space="preserve">Recommandations</w:t>
        </w:r>
      </w:hyperlink>
    </w:p>
    <w:p>
      <w:pPr>
        <w:numPr>
          <w:ilvl w:val="0"/>
          <w:numId w:val="1009"/>
        </w:numPr>
      </w:pPr>
      <w:hyperlink r:id="rId45">
        <w:r>
          <w:rPr>
            <w:rStyle w:val="Hyperlink"/>
            <w:color w:val="0856A0"/>
            <w:u w:val="single"/>
          </w:rPr>
          <w:t xml:space="preserve">Bibliographie</w:t>
        </w:r>
      </w:hyperlink>
    </w:p>
    <w:bookmarkEnd w:id="46"/>
    <w:bookmarkEnd w:id="47"/>
    <w:bookmarkEnd w:id="48"/>
    <w:bookmarkStart w:id="49" w:name="X45ad37046213581a41a58cd8a8dba04c2f3aa9c"/>
    <w:p>
      <w:pPr>
        <w:pStyle w:val="Heading2"/>
      </w:pPr>
      <w:r>
        <w:t xml:space="preserve">Protections individuelles et collectives à envisager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202"/>
        <w:gridCol w:w="3717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Zones à protéger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Mesures à envisager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Mains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Gants de protection - Conformes à la norme NF EN 374 (résistance aux agents chimiques).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- Imperméables (type 3 selon la norme NF EN 374).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- Sélectionner en fonction de l’application et de la durée d’utilisation. À porter lors de tout contact prolongé ou répété avec la peau.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Yeux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Lunettes de protection (ou lunettes à protection latérale) - Conformes à la norme NF EN 166 (protection contre les projections de liquide).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- Doivent offrir une protection latérale complète. Utiliser avant toute manipulation. Écran facial (pour protection du visage) - À utiliser en cas de danger accru.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- Doit couvrir le visage entier, y compris les yeux, le nez et la bouche. Complément aux lunettes lorsque le risque de projection de liquide est élevé.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Peau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Gants de protection - Conformes à la norme NF EN 374 (résistance aux agents chimiques).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- Imperméables (type 3 selon la norme NF EN 374).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- Sélectionner en fonction de l’application et de la durée d’utilisation. À porter lors de tout contact prolongé ou répété avec la peau.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Système respiratoire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Aucune information spécifique n’est fournie dans le document.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Corps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Vêtements de protection (combinaisons) - Type 3 (étanche aux liquides) conforme à la norme NF EN 14605 pour éviter tout contact avec la peau en cas de fortes projections.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- Type 6 (protection contre les éclaboussures) conforme à la norme NF EN 13034 pour les risques d’éclaboussures. À porter pour éviter le contact avec la peau. Les vêtements doivent être lavés régulièrement.</w:t>
            </w:r>
          </w:p>
        </w:tc>
      </w:tr>
    </w:tbl>
    <w:bookmarkEnd w:id="49"/>
    <w:bookmarkStart w:id="50" w:name="Xc141b1b6429233fc1a5306592e7c0023f190cfe"/>
    <w:p>
      <w:pPr>
        <w:pStyle w:val="Heading2"/>
      </w:pPr>
      <w:r>
        <w:t xml:space="preserve">Conditions de stockage et de manipulation à envisager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3009"/>
        <w:gridCol w:w="4910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Zones à protéger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Mesures à envisager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Précautions à prendre pour une manipulation sans danger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Porter des gants de protection, des vêtements de protection et un équipement de protection des yeux/du visage (P280). - Se laver les mains soigneusement après manipulation (P264). - Tenir hors de portée des enfants (P102). - Lire l’étiquette avant utilisation (P103). - En cas de contact avec la peau : laver abondamment à l’eau (P302 + P352). - En cas de contact avec les yeux : rincer avec précaution à l’eau pendant plusieurs minutes (P305 + P351 + P338). - En cas d’irritation cutanée : consulter un médecin (P332 + P313). - En cas d’irritation oculaire persistante : consulter un médecin (P337 + P313). - En cas d’ingestion : ne rien faire absorber par la bouche, rincer la bouche et consulter un médecin (P302 + P352). - En cas de vêtements contaminés : enlever les vêtements et les laver avant réutilisation (P362 + P364). - Garder le récipient fermé et conserver l’étiquette sur le récipient. - Ne pas déverser dans les égouts ni dans les cours d’eau. - Contenir et recueillir les fuites avec des matériaux absorbants non combustibles (sable, terre, vermiculite, terre de diatomées). - Empêcher toute pénétration dans les égouts ou cours d’eau.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Conditions d’un stockage sûr, y compris d’éventuelles incompatibilités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Garder le récipient fermé et conserver l’étiquette sur le récipient. - Ne pas déverser dans les égouts ni dans les cours d’eau. - Contenir et recueillir les fuites avec des matériaux absorbants non combustibles (sable, terre, vermiculite, terre de diatomées). - Empêcher toute pénétration dans les égouts ou cours d’eau.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Utilisation(s) finale(s) particulière(s)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Détergent</w:t>
            </w:r>
          </w:p>
        </w:tc>
      </w:tr>
    </w:tbl>
    <w:bookmarkEnd w:id="50"/>
    <w:bookmarkEnd w:id="51"/>
    <w:sectPr w:rsidR="00E0006B">
      <w:pgSz w:h="15840" w:w="12240"/>
      <w:pgMar w:bottom="1440" w:footer="720" w:gutter="0" w:header="720" w:left="1440" w:right="1440" w:top="1440"/>
      <w:cols w:space="720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 (Headings CS)">
    <w:altName w:val="Times New Roman"/>
    <w:panose1 w:val="020B0604020202020204"/>
    <w:charset w:val="00"/>
    <w:family w:val="roman"/>
    <w:pitch w:val="default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1B169FA4"/>
    <w:lvl w:ilvl="0">
      <w:numFmt w:val="bullet"/>
      <w:lvlText w:val=" "/>
      <w:lvlJc w:val="left"/>
      <w:pPr>
        <w:ind w:hanging="360" w:left="720"/>
      </w:pPr>
    </w:lvl>
    <w:lvl w:ilvl="1">
      <w:numFmt w:val="bullet"/>
      <w:lvlText w:val=" "/>
      <w:lvlJc w:val="left"/>
      <w:pPr>
        <w:ind w:hanging="360" w:left="1440"/>
      </w:pPr>
    </w:lvl>
    <w:lvl w:ilvl="2">
      <w:numFmt w:val="bullet"/>
      <w:lvlText w:val=" "/>
      <w:lvlJc w:val="left"/>
      <w:pPr>
        <w:ind w:hanging="360" w:left="2160"/>
      </w:pPr>
    </w:lvl>
    <w:lvl w:ilvl="3">
      <w:numFmt w:val="bullet"/>
      <w:lvlText w:val=" "/>
      <w:lvlJc w:val="left"/>
      <w:pPr>
        <w:ind w:hanging="360" w:left="2880"/>
      </w:pPr>
    </w:lvl>
    <w:lvl w:ilvl="4">
      <w:numFmt w:val="bullet"/>
      <w:lvlText w:val=" "/>
      <w:lvlJc w:val="left"/>
      <w:pPr>
        <w:ind w:hanging="360" w:left="3600"/>
      </w:pPr>
    </w:lvl>
    <w:lvl w:ilvl="5">
      <w:numFmt w:val="bullet"/>
      <w:lvlText w:val=" "/>
      <w:lvlJc w:val="left"/>
      <w:pPr>
        <w:ind w:hanging="360" w:left="4320"/>
      </w:pPr>
    </w:lvl>
    <w:lvl w:ilvl="6">
      <w:numFmt w:val="bullet"/>
      <w:lvlText w:val=" "/>
      <w:lvlJc w:val="left"/>
      <w:pPr>
        <w:ind w:hanging="360" w:left="5040"/>
      </w:pPr>
    </w:lvl>
    <w:lvl w:ilvl="7">
      <w:numFmt w:val="bullet"/>
      <w:lvlText w:val=" "/>
      <w:lvlJc w:val="left"/>
      <w:pPr>
        <w:ind w:hanging="360" w:left="5760"/>
      </w:pPr>
    </w:lvl>
    <w:lvl w:ilvl="8">
      <w:numFmt w:val="bullet"/>
      <w:lvlText w:val=" "/>
      <w:lvlJc w:val="left"/>
      <w:pPr>
        <w:ind w:hanging="360" w:left="6480"/>
      </w:pPr>
    </w:lvl>
  </w:abstractNum>
  <w:abstractNum w15:restartNumberingAfterBreak="0" w:abstractNumId="1">
    <w:nsid w:val="0000A991"/>
    <w:multiLevelType w:val="multilevel"/>
    <w:tmpl w:val="1892DF90"/>
    <w:lvl w:ilvl="0">
      <w:numFmt w:val="bullet"/>
      <w:lvlText w:val=""/>
      <w:lvlJc w:val="left"/>
      <w:pPr>
        <w:ind w:hanging="360" w:left="720"/>
      </w:pPr>
      <w:rPr>
        <w:rFonts w:ascii="Symbol" w:cs="Symbol" w:hAnsi="Symbol" w:hint="default"/>
      </w:rPr>
    </w:lvl>
    <w:lvl w:ilvl="1">
      <w:numFmt w:val="bullet"/>
      <w:lvlText w:val="o"/>
      <w:lvlJc w:val="left"/>
      <w:pPr>
        <w:ind w:hanging="360" w:left="1440"/>
      </w:pPr>
      <w:rPr>
        <w:rFonts w:ascii="Courier New" w:cs="Courier New" w:hAnsi="Courier New" w:hint="default"/>
      </w:rPr>
    </w:lvl>
    <w:lvl w:ilvl="2">
      <w:numFmt w:val="bullet"/>
      <w:lvlText w:val=""/>
      <w:lvlJc w:val="left"/>
      <w:pPr>
        <w:ind w:hanging="360" w:left="2160"/>
      </w:pPr>
      <w:rPr>
        <w:rFonts w:ascii="Wingdings" w:cs="Wingdings" w:hAnsi="Wingdings" w:hint="default"/>
      </w:rPr>
    </w:lvl>
    <w:lvl w:ilvl="3">
      <w:numFmt w:val="bullet"/>
      <w:lvlText w:val=""/>
      <w:lvlJc w:val="left"/>
      <w:pPr>
        <w:ind w:hanging="360" w:left="2880"/>
      </w:pPr>
      <w:rPr>
        <w:rFonts w:ascii="Symbol" w:cs="Symbol" w:hAnsi="Symbol" w:hint="default"/>
      </w:rPr>
    </w:lvl>
    <w:lvl w:ilvl="4">
      <w:numFmt w:val="bullet"/>
      <w:lvlText w:val="o"/>
      <w:lvlJc w:val="left"/>
      <w:pPr>
        <w:ind w:hanging="360" w:left="3600"/>
      </w:pPr>
      <w:rPr>
        <w:rFonts w:ascii="Courier New" w:cs="Courier New" w:hAnsi="Courier New" w:hint="default"/>
      </w:rPr>
    </w:lvl>
    <w:lvl w:ilvl="5">
      <w:numFmt w:val="bullet"/>
      <w:lvlText w:val=""/>
      <w:lvlJc w:val="left"/>
      <w:pPr>
        <w:ind w:hanging="360" w:left="4320"/>
      </w:pPr>
      <w:rPr>
        <w:rFonts w:ascii="Wingdings" w:cs="Wingdings" w:hAnsi="Wingdings" w:hint="default"/>
      </w:rPr>
    </w:lvl>
    <w:lvl w:ilvl="6">
      <w:numFmt w:val="bullet"/>
      <w:lvlText w:val=""/>
      <w:lvlJc w:val="left"/>
      <w:pPr>
        <w:ind w:hanging="360" w:left="5040"/>
      </w:pPr>
      <w:rPr>
        <w:rFonts w:ascii="Symbol" w:cs="Symbol" w:hAnsi="Symbol" w:hint="default"/>
      </w:rPr>
    </w:lvl>
    <w:lvl w:ilvl="7">
      <w:numFmt w:val="bullet"/>
      <w:lvlText w:val="o"/>
      <w:lvlJc w:val="left"/>
      <w:pPr>
        <w:ind w:hanging="360" w:left="5760"/>
      </w:pPr>
      <w:rPr>
        <w:rFonts w:ascii="Courier New" w:cs="Courier New" w:hAnsi="Courier New" w:hint="default"/>
      </w:rPr>
    </w:lvl>
    <w:lvl w:ilvl="8">
      <w:numFmt w:val="bullet"/>
      <w:lvlText w:val=""/>
      <w:lvlJc w:val="left"/>
      <w:pPr>
        <w:ind w:hanging="360" w:left="6480"/>
      </w:pPr>
      <w:rPr>
        <w:rFonts w:ascii="Wingdings" w:cs="Wingdings" w:hAnsi="Wingdings" w:hint="default"/>
      </w:rPr>
    </w:lvl>
  </w:abstractNum>
  <w:abstractNum w15:restartNumberingAfterBreak="0" w:abstractNumId="2">
    <w:nsid w:val="04352475"/>
    <w:multiLevelType w:val="multilevel"/>
    <w:tmpl w:val="0B5C3C7C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15:restartNumberingAfterBreak="0" w:abstractNumId="3">
    <w:nsid w:val="27580FEE"/>
    <w:multiLevelType w:val="multilevel"/>
    <w:tmpl w:val="9D544CDC"/>
    <w:styleLink w:val="CurrentList2"/>
    <w:lvl w:ilvl="0">
      <w:start w:val="1"/>
      <w:numFmt w:val="decimal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15:restartNumberingAfterBreak="0" w:abstractNumId="4">
    <w:nsid w:val="400A04EB"/>
    <w:multiLevelType w:val="hybridMultilevel"/>
    <w:tmpl w:val="C7FEDEBC"/>
    <w:lvl w:ilvl="0" w:tplc="7876CDB4">
      <w:numFmt w:val="bullet"/>
      <w:lvlText w:val="-"/>
      <w:lvlJc w:val="left"/>
      <w:pPr>
        <w:ind w:hanging="360" w:left="720"/>
      </w:pPr>
      <w:rPr>
        <w:rFonts w:ascii="Calibri Light" w:cstheme="minorBidi" w:eastAsiaTheme="minorHAnsi" w:hAnsi="Calibri Light" w:hint="default"/>
      </w:rPr>
    </w:lvl>
    <w:lvl w:ilvl="1" w:tentative="1" w:tplc="04090003">
      <w:start w:val="1"/>
      <w:numFmt w:val="bullet"/>
      <w:lvlText w:val="o"/>
      <w:lvlJc w:val="left"/>
      <w:pPr>
        <w:ind w:hanging="360" w:left="1440"/>
      </w:pPr>
      <w:rPr>
        <w:rFonts w:ascii="Courier New" w:cs="Courier New" w:hAnsi="Courier New" w:hint="default"/>
      </w:rPr>
    </w:lvl>
    <w:lvl w:ilvl="2" w:tentative="1" w:tplc="04090005">
      <w:start w:val="1"/>
      <w:numFmt w:val="bullet"/>
      <w:lvlText w:val=""/>
      <w:lvlJc w:val="left"/>
      <w:pPr>
        <w:ind w:hanging="360" w:left="2160"/>
      </w:pPr>
      <w:rPr>
        <w:rFonts w:ascii="Wingdings" w:hAnsi="Wingdings" w:hint="default"/>
      </w:rPr>
    </w:lvl>
    <w:lvl w:ilvl="3" w:tentative="1" w:tplc="04090001">
      <w:start w:val="1"/>
      <w:numFmt w:val="bullet"/>
      <w:lvlText w:val=""/>
      <w:lvlJc w:val="left"/>
      <w:pPr>
        <w:ind w:hanging="360" w:left="2880"/>
      </w:pPr>
      <w:rPr>
        <w:rFonts w:ascii="Symbol" w:hAnsi="Symbol" w:hint="default"/>
      </w:rPr>
    </w:lvl>
    <w:lvl w:ilvl="4" w:tentative="1" w:tplc="04090003">
      <w:start w:val="1"/>
      <w:numFmt w:val="bullet"/>
      <w:lvlText w:val="o"/>
      <w:lvlJc w:val="left"/>
      <w:pPr>
        <w:ind w:hanging="360" w:left="3600"/>
      </w:pPr>
      <w:rPr>
        <w:rFonts w:ascii="Courier New" w:cs="Courier New" w:hAnsi="Courier New" w:hint="default"/>
      </w:rPr>
    </w:lvl>
    <w:lvl w:ilvl="5" w:tentative="1" w:tplc="04090005">
      <w:start w:val="1"/>
      <w:numFmt w:val="bullet"/>
      <w:lvlText w:val=""/>
      <w:lvlJc w:val="left"/>
      <w:pPr>
        <w:ind w:hanging="360" w:left="4320"/>
      </w:pPr>
      <w:rPr>
        <w:rFonts w:ascii="Wingdings" w:hAnsi="Wingdings" w:hint="default"/>
      </w:rPr>
    </w:lvl>
    <w:lvl w:ilvl="6" w:tentative="1" w:tplc="04090001">
      <w:start w:val="1"/>
      <w:numFmt w:val="bullet"/>
      <w:lvlText w:val=""/>
      <w:lvlJc w:val="left"/>
      <w:pPr>
        <w:ind w:hanging="360" w:left="5040"/>
      </w:pPr>
      <w:rPr>
        <w:rFonts w:ascii="Symbol" w:hAnsi="Symbol" w:hint="default"/>
      </w:rPr>
    </w:lvl>
    <w:lvl w:ilvl="7" w:tentative="1" w:tplc="04090003">
      <w:start w:val="1"/>
      <w:numFmt w:val="bullet"/>
      <w:lvlText w:val="o"/>
      <w:lvlJc w:val="left"/>
      <w:pPr>
        <w:ind w:hanging="360" w:left="5760"/>
      </w:pPr>
      <w:rPr>
        <w:rFonts w:ascii="Courier New" w:cs="Courier New" w:hAnsi="Courier New" w:hint="default"/>
      </w:rPr>
    </w:lvl>
    <w:lvl w:ilvl="8" w:tentative="1" w:tplc="04090005">
      <w:start w:val="1"/>
      <w:numFmt w:val="bullet"/>
      <w:lvlText w:val=""/>
      <w:lvlJc w:val="left"/>
      <w:pPr>
        <w:ind w:hanging="360" w:left="6480"/>
      </w:pPr>
      <w:rPr>
        <w:rFonts w:ascii="Wingdings" w:hAnsi="Wingdings" w:hint="default"/>
      </w:rPr>
    </w:lvl>
  </w:abstractNum>
  <w:abstractNum w15:restartNumberingAfterBreak="0" w:abstractNumId="5">
    <w:nsid w:val="50E51DAE"/>
    <w:multiLevelType w:val="multilevel"/>
    <w:tmpl w:val="563A878E"/>
    <w:styleLink w:val="CurrentList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15:restartNumberingAfterBreak="0" w:abstractNumId="6">
    <w:nsid w:val="52107C0B"/>
    <w:multiLevelType w:val="multilevel"/>
    <w:tmpl w:val="BBB8FE78"/>
    <w:lvl w:ilvl="0">
      <w:start w:val="1"/>
      <w:numFmt w:val="decimal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15:restartNumberingAfterBreak="0" w:abstractNumId="7">
    <w:nsid w:val="7CD12584"/>
    <w:multiLevelType w:val="multilevel"/>
    <w:tmpl w:val="06BCBE18"/>
    <w:lvl w:ilvl="0">
      <w:start w:val="1"/>
      <w:numFmt w:val="decimal"/>
      <w:pStyle w:val="Heading1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480"/>
      </w:pPr>
    </w:lvl>
    <w:lvl w:ilvl="1">
      <w:numFmt w:val="bullet"/>
      <w:lvlText w:val=" "/>
      <w:lvlJc w:val="left"/>
      <w:pPr>
        <w:ind w:left="1440" w:hanging="480"/>
      </w:pPr>
    </w:lvl>
    <w:lvl w:ilvl="2">
      <w:numFmt w:val="bullet"/>
      <w:lvlText w:val=" "/>
      <w:lvlJc w:val="left"/>
      <w:pPr>
        <w:ind w:left="2160" w:hanging="480"/>
      </w:pPr>
    </w:lvl>
    <w:lvl w:ilvl="3">
      <w:numFmt w:val="bullet"/>
      <w:lvlText w:val=" "/>
      <w:lvlJc w:val="left"/>
      <w:pPr>
        <w:ind w:left="2880" w:hanging="480"/>
      </w:pPr>
    </w:lvl>
    <w:lvl w:ilvl="4">
      <w:numFmt w:val="bullet"/>
      <w:lvlText w:val=" "/>
      <w:lvlJc w:val="left"/>
      <w:pPr>
        <w:ind w:left="3600" w:hanging="480"/>
      </w:pPr>
    </w:lvl>
    <w:lvl w:ilvl="5">
      <w:numFmt w:val="bullet"/>
      <w:lvlText w:val=" "/>
      <w:lvlJc w:val="left"/>
      <w:pPr>
        <w:ind w:left="4320" w:hanging="480"/>
      </w:pPr>
    </w:lvl>
    <w:lvl w:ilvl="6">
      <w:numFmt w:val="bullet"/>
      <w:lvlText w:val=" "/>
      <w:lvlJc w:val="left"/>
      <w:pPr>
        <w:ind w:left="5040" w:hanging="480"/>
      </w:pPr>
    </w:lvl>
    <w:lvl w:ilvl="7">
      <w:numFmt w:val="bullet"/>
      <w:lvlText w:val=" "/>
      <w:lvlJc w:val="left"/>
      <w:pPr>
        <w:ind w:left="5760" w:hanging="480"/>
      </w:pPr>
    </w:lvl>
    <w:lvl w:ilvl="8">
      <w:numFmt w:val="bullet"/>
      <w:lvlText w:val=" "/>
      <w:lvlJc w:val="left"/>
      <w:pPr>
        <w:ind w:left="6480" w:hanging="480"/>
      </w:pPr>
    </w:lvl>
  </w:abstractNum>
  <w:abstractNum w:abstractNumId="991">
    <w:nsid w:val="0000A991"/>
    <w:multiLevelType w:val="multilevel"/>
    <w:lvl w:ilvl="0">
      <w:numFmt w:val="bullet"/>
      <w:lvlText w:val="•"/>
      <w:lvlJc w:val="left"/>
      <w:pPr>
        <w:ind w:left="720" w:hanging="480"/>
      </w:pPr>
    </w:lvl>
    <w:lvl w:ilvl="1">
      <w:numFmt w:val="bullet"/>
      <w:lvlText w:val="–"/>
      <w:lvlJc w:val="left"/>
      <w:pPr>
        <w:ind w:left="1440" w:hanging="480"/>
      </w:pPr>
    </w:lvl>
    <w:lvl w:ilvl="2">
      <w:numFmt w:val="bullet"/>
      <w:lvlText w:val="•"/>
      <w:lvlJc w:val="left"/>
      <w:pPr>
        <w:ind w:left="2160" w:hanging="480"/>
      </w:pPr>
    </w:lvl>
    <w:lvl w:ilvl="3">
      <w:numFmt w:val="bullet"/>
      <w:lvlText w:val="–"/>
      <w:lvlJc w:val="left"/>
      <w:pPr>
        <w:ind w:left="2880" w:hanging="480"/>
      </w:pPr>
    </w:lvl>
    <w:lvl w:ilvl="4">
      <w:numFmt w:val="bullet"/>
      <w:lvlText w:val="•"/>
      <w:lvlJc w:val="left"/>
      <w:pPr>
        <w:ind w:left="3600" w:hanging="480"/>
      </w:pPr>
    </w:lvl>
    <w:lvl w:ilvl="5">
      <w:numFmt w:val="bullet"/>
      <w:lvlText w:val="–"/>
      <w:lvlJc w:val="left"/>
      <w:pPr>
        <w:ind w:left="4320" w:hanging="480"/>
      </w:pPr>
    </w:lvl>
    <w:lvl w:ilvl="6">
      <w:numFmt w:val="bullet"/>
      <w:lvlText w:val="•"/>
      <w:lvlJc w:val="left"/>
      <w:pPr>
        <w:ind w:left="5040" w:hanging="480"/>
      </w:pPr>
    </w:lvl>
    <w:lvl w:ilvl="7">
      <w:numFmt w:val="bullet"/>
      <w:lvlText w:val="–"/>
      <w:lvlJc w:val="left"/>
      <w:pPr>
        <w:ind w:left="5760" w:hanging="480"/>
      </w:pPr>
    </w:lvl>
    <w:lvl w:ilvl="8">
      <w:numFmt w:val="bullet"/>
      <w:lvlText w:val="•"/>
      <w:lvlJc w:val="left"/>
      <w:pPr>
        <w:ind w:left="6480" w:hanging="480"/>
      </w:pPr>
    </w:lvl>
  </w:abstractNum>
  <w:num w16cid:durableId="1720471213" w:numId="1">
    <w:abstractNumId w:val="2"/>
  </w:num>
  <w:num w16cid:durableId="1648320710" w:numId="2">
    <w:abstractNumId w:val="5"/>
  </w:num>
  <w:num w16cid:durableId="2017804043" w:numId="3">
    <w:abstractNumId w:val="6"/>
  </w:num>
  <w:num w16cid:durableId="1651909906" w:numId="4">
    <w:abstractNumId w:val="3"/>
  </w:num>
  <w:num w16cid:durableId="521095555" w:numId="5">
    <w:abstractNumId w:val="7"/>
  </w:num>
  <w:num w16cid:durableId="817499995" w:numId="6">
    <w:abstractNumId w:val="4"/>
  </w:num>
  <w:num w16cid:durableId="1906332917" w:numId="7">
    <w:abstractNumId w:val="0"/>
  </w:num>
  <w:num w16cid:durableId="1745058132" w:numId="8">
    <w:abstractNumId w:val="1"/>
  </w:num>
  <w:num w16cid:durableId="1817255597" w:numId="9">
    <w:abstractNumId w:val="1"/>
  </w:num>
  <w:num w16cid:durableId="172231987" w:numId="10">
    <w:abstractNumId w:val="1"/>
  </w:num>
  <w:num w16cid:durableId="92215818" w:numId="11">
    <w:abstractNumId w:val="1"/>
  </w:num>
  <w:num w16cid:durableId="1483934940" w:numId="12">
    <w:abstractNumId w:val="1"/>
  </w:num>
  <w:num w16cid:durableId="1150366971" w:numId="13">
    <w:abstractNumId w:val="1"/>
  </w:num>
  <w:num w16cid:durableId="1761292258" w:numId="14">
    <w:abstractNumId w:val="1"/>
  </w:num>
  <w:num w16cid:durableId="346903929" w:numId="15">
    <w:abstractNumId w:val="1"/>
  </w:num>
  <w:num w16cid:durableId="1559971392" w:numId="16">
    <w:abstractNumId w:val="1"/>
  </w:num>
  <w:num w16cid:durableId="517354298" w:numId="17">
    <w:abstractNumId w:val="1"/>
  </w:num>
  <w:num w16cid:durableId="833032575" w:numId="18">
    <w:abstractNumId w:val="1"/>
  </w:num>
  <w:num w:numId="1000">
    <w:abstractNumId w:val="990"/>
  </w:num>
  <w:num w:numId="1001">
    <w:abstractNumId w:val="991"/>
  </w:num>
  <w:num w:numId="1002">
    <w:abstractNumId w:val="991"/>
  </w:num>
  <w:num w:numId="1003">
    <w:abstractNumId w:val="991"/>
  </w:num>
  <w:num w:numId="1004">
    <w:abstractNumId w:val="991"/>
  </w:num>
  <w:num w:numId="1005">
    <w:abstractNumId w:val="991"/>
  </w:num>
  <w:num w:numId="1006">
    <w:abstractNumId w:val="991"/>
  </w:num>
  <w:num w:numId="1007">
    <w:abstractNumId w:val="991"/>
  </w:num>
  <w:num w:numId="1008">
    <w:abstractNumId w:val="991"/>
  </w:num>
  <w:num w:numId="1009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60"/>
  <w:embedSystemFonts/>
  <w:proofState w:grammar="clean" w:spelling="clean"/>
  <w:stylePaneFormatFilter w:allStyles="0" w:alternateStyleNames="0" w:clearFormatting="1" w:customStyles="0" w:directFormattingOnNumbering="0" w:directFormattingOnParagraphs="0" w:directFormattingOnRuns="0" w:directFormattingOnTables="0" w:headingStyles="0" w:latentStyles="1" w:numberingStyles="0" w:stylesInUse="0" w:tableStyles="0" w:top3HeadingStyles="0" w:val="1004" w:visibleStyles="0"/>
  <w:doNotTrackMoves/>
  <w:defaultTabStop w:val="720"/>
  <w:defaultTableStyle w:val="TableGrid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footnotePr>
    <w:footnote w:id="-1"/>
    <w:footnote w:id="0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1D39"/>
    <w:rsid w:val="001509A7"/>
    <w:rsid w:val="00267AAB"/>
    <w:rsid w:val="003A690E"/>
    <w:rsid w:val="00414B90"/>
    <w:rsid w:val="004528CD"/>
    <w:rsid w:val="00526565"/>
    <w:rsid w:val="00541D66"/>
    <w:rsid w:val="00544B38"/>
    <w:rsid w:val="00565810"/>
    <w:rsid w:val="006148BD"/>
    <w:rsid w:val="00666DED"/>
    <w:rsid w:val="008165A3"/>
    <w:rsid w:val="00860E1D"/>
    <w:rsid w:val="008852B8"/>
    <w:rsid w:val="0094385A"/>
    <w:rsid w:val="00A1506E"/>
    <w:rsid w:val="00A64414"/>
    <w:rsid w:val="00AC12F5"/>
    <w:rsid w:val="00AD54C5"/>
    <w:rsid w:val="00B03303"/>
    <w:rsid w:val="00B31D39"/>
    <w:rsid w:val="00DE2473"/>
    <w:rsid w:val="00E0006B"/>
    <w:rsid w:val="00E218FB"/>
    <w:rsid w:val="00E820F7"/>
    <w:rsid w:val="00EB543D"/>
    <w:rsid w:val="00F41D15"/>
    <w:rsid w:val="00FA1C42"/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HAnsi" w:hAnsiTheme="minorHAnsi"/>
        <w:kern w:val="2"/>
        <w:sz w:val="24"/>
        <w:szCs w:val="24"/>
        <w:lang w:bidi="ar-SA" w:eastAsia="en-US" w:val="en-US"/>
        <w14:ligatures w14:val="standardContextual"/>
      </w:rPr>
    </w:rPrDefault>
    <w:pPrDefault>
      <w:pPr>
        <w:spacing w:after="160" w:line="27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Normal" w:type="paragraph">
    <w:name w:val="Normal"/>
    <w:qFormat/>
    <w:rsid w:val="00B31D39"/>
    <w:rPr>
      <w:rFonts w:ascii="Calibri" w:hAnsi="Calibri"/>
    </w:rPr>
  </w:style>
  <w:style w:styleId="Heading1" w:type="paragraph">
    <w:name w:val="heading 1"/>
    <w:basedOn w:val="Normal"/>
    <w:next w:val="Normal"/>
    <w:link w:val="Heading1Char"/>
    <w:uiPriority w:val="9"/>
    <w:qFormat/>
    <w:rsid w:val="00B31D39"/>
    <w:pPr>
      <w:keepNext/>
      <w:keepLines/>
      <w:numPr>
        <w:numId w:val="5"/>
      </w:numPr>
      <w:spacing w:after="80" w:before="360"/>
      <w:outlineLvl w:val="0"/>
    </w:pPr>
    <w:rPr>
      <w:rFonts w:cstheme="majorBidi" w:eastAsiaTheme="majorEastAsia"/>
      <w:b/>
      <w:color w:themeColor="accent1" w:themeShade="BF" w:val="0F4761"/>
      <w:sz w:val="40"/>
      <w:szCs w:val="40"/>
    </w:rPr>
  </w:style>
  <w:style w:styleId="Heading2" w:type="paragraph">
    <w:name w:val="heading 2"/>
    <w:basedOn w:val="Heading1"/>
    <w:next w:val="Normal"/>
    <w:link w:val="Heading2Char"/>
    <w:uiPriority w:val="9"/>
    <w:unhideWhenUsed/>
    <w:qFormat/>
    <w:rsid w:val="00FA1C42"/>
    <w:pPr>
      <w:numPr>
        <w:ilvl w:val="1"/>
      </w:numPr>
      <w:spacing w:before="160"/>
      <w:ind w:left="432"/>
      <w:outlineLvl w:val="1"/>
    </w:pPr>
    <w:rPr>
      <w:sz w:val="32"/>
      <w:szCs w:val="32"/>
    </w:rPr>
  </w:style>
  <w:style w:styleId="Heading3" w:type="paragraph">
    <w:name w:val="heading 3"/>
    <w:basedOn w:val="Heading2"/>
    <w:next w:val="Normal"/>
    <w:link w:val="Heading3Char"/>
    <w:uiPriority w:val="9"/>
    <w:unhideWhenUsed/>
    <w:qFormat/>
    <w:rsid w:val="00FA1C42"/>
    <w:pPr>
      <w:numPr>
        <w:ilvl w:val="2"/>
      </w:numPr>
      <w:ind w:left="504"/>
      <w:outlineLvl w:val="2"/>
    </w:pPr>
    <w:rPr>
      <w:rFonts w:cs="Times New Roman (Headings CS)"/>
      <w:sz w:val="28"/>
      <w:szCs w:val="28"/>
    </w:rPr>
  </w:style>
  <w:style w:styleId="Heading4" w:type="paragraph">
    <w:name w:val="heading 4"/>
    <w:basedOn w:val="Normal"/>
    <w:next w:val="Normal"/>
    <w:link w:val="Heading4Char"/>
    <w:uiPriority w:val="9"/>
    <w:semiHidden/>
    <w:unhideWhenUsed/>
    <w:qFormat/>
    <w:rsid w:val="00B31D39"/>
    <w:pPr>
      <w:keepNext/>
      <w:keepLines/>
      <w:spacing w:after="40" w:before="80"/>
      <w:outlineLvl w:val="3"/>
    </w:pPr>
    <w:rPr>
      <w:rFonts w:cstheme="majorBidi" w:eastAsiaTheme="majorEastAsia"/>
      <w:i/>
      <w:iCs/>
      <w:color w:themeColor="accent1" w:themeShade="BF" w:val="0F4761"/>
    </w:rPr>
  </w:style>
  <w:style w:styleId="Heading5" w:type="paragraph">
    <w:name w:val="heading 5"/>
    <w:basedOn w:val="Normal"/>
    <w:next w:val="Normal"/>
    <w:link w:val="Heading5Char"/>
    <w:uiPriority w:val="9"/>
    <w:semiHidden/>
    <w:unhideWhenUsed/>
    <w:qFormat/>
    <w:rsid w:val="00B31D39"/>
    <w:pPr>
      <w:keepNext/>
      <w:keepLines/>
      <w:spacing w:after="40" w:before="80"/>
      <w:outlineLvl w:val="4"/>
    </w:pPr>
    <w:rPr>
      <w:rFonts w:cstheme="majorBidi" w:eastAsiaTheme="majorEastAsia"/>
      <w:color w:themeColor="accent1" w:themeShade="BF" w:val="0F4761"/>
    </w:rPr>
  </w:style>
  <w:style w:styleId="Heading6" w:type="paragraph">
    <w:name w:val="heading 6"/>
    <w:basedOn w:val="Normal"/>
    <w:next w:val="Normal"/>
    <w:link w:val="Heading6Char"/>
    <w:uiPriority w:val="9"/>
    <w:semiHidden/>
    <w:unhideWhenUsed/>
    <w:qFormat/>
    <w:rsid w:val="00B31D39"/>
    <w:pPr>
      <w:keepNext/>
      <w:keepLines/>
      <w:spacing w:after="0" w:before="40"/>
      <w:outlineLvl w:val="5"/>
    </w:pPr>
    <w:rPr>
      <w:rFonts w:cstheme="majorBidi" w:eastAsiaTheme="majorEastAsia"/>
      <w:i/>
      <w:iCs/>
      <w:color w:themeColor="text1" w:themeTint="A6" w:val="595959"/>
    </w:rPr>
  </w:style>
  <w:style w:styleId="Heading7" w:type="paragraph">
    <w:name w:val="heading 7"/>
    <w:basedOn w:val="Normal"/>
    <w:next w:val="Normal"/>
    <w:link w:val="Heading7Char"/>
    <w:uiPriority w:val="9"/>
    <w:semiHidden/>
    <w:unhideWhenUsed/>
    <w:qFormat/>
    <w:rsid w:val="00B31D39"/>
    <w:pPr>
      <w:keepNext/>
      <w:keepLines/>
      <w:spacing w:after="0" w:before="40"/>
      <w:outlineLvl w:val="6"/>
    </w:pPr>
    <w:rPr>
      <w:rFonts w:cstheme="majorBidi" w:eastAsiaTheme="majorEastAsia"/>
      <w:color w:themeColor="text1" w:themeTint="A6" w:val="595959"/>
    </w:rPr>
  </w:style>
  <w:style w:styleId="Heading8" w:type="paragraph">
    <w:name w:val="heading 8"/>
    <w:basedOn w:val="Normal"/>
    <w:next w:val="Normal"/>
    <w:link w:val="Heading8Char"/>
    <w:uiPriority w:val="9"/>
    <w:semiHidden/>
    <w:unhideWhenUsed/>
    <w:qFormat/>
    <w:rsid w:val="00B31D39"/>
    <w:pPr>
      <w:keepNext/>
      <w:keepLines/>
      <w:spacing w:after="0"/>
      <w:outlineLvl w:val="7"/>
    </w:pPr>
    <w:rPr>
      <w:rFonts w:cstheme="majorBidi" w:eastAsiaTheme="majorEastAsia"/>
      <w:i/>
      <w:iCs/>
      <w:color w:themeColor="text1" w:themeTint="D8" w:val="272727"/>
    </w:rPr>
  </w:style>
  <w:style w:styleId="Heading9" w:type="paragraph">
    <w:name w:val="heading 9"/>
    <w:basedOn w:val="Normal"/>
    <w:next w:val="Normal"/>
    <w:link w:val="Heading9Char"/>
    <w:uiPriority w:val="9"/>
    <w:semiHidden/>
    <w:unhideWhenUsed/>
    <w:qFormat/>
    <w:rsid w:val="00B31D39"/>
    <w:pPr>
      <w:keepNext/>
      <w:keepLines/>
      <w:spacing w:after="0"/>
      <w:outlineLvl w:val="8"/>
    </w:pPr>
    <w:rPr>
      <w:rFonts w:cstheme="majorBidi" w:eastAsiaTheme="majorEastAsia"/>
      <w:color w:themeColor="text1" w:themeTint="D8" w:val="272727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B31D39"/>
    <w:rPr>
      <w:rFonts w:ascii="Calibri" w:cstheme="majorBidi" w:eastAsiaTheme="majorEastAsia" w:hAnsi="Calibri"/>
      <w:b/>
      <w:color w:themeColor="accent1" w:themeShade="BF" w:val="0F4761"/>
      <w:sz w:val="40"/>
      <w:szCs w:val="40"/>
    </w:rPr>
  </w:style>
  <w:style w:customStyle="1" w:styleId="Heading2Char" w:type="character">
    <w:name w:val="Heading 2 Char"/>
    <w:basedOn w:val="DefaultParagraphFont"/>
    <w:link w:val="Heading2"/>
    <w:uiPriority w:val="9"/>
    <w:rsid w:val="00FA1C42"/>
    <w:rPr>
      <w:rFonts w:ascii="Calibri" w:cstheme="majorBidi" w:eastAsiaTheme="majorEastAsia" w:hAnsi="Calibri"/>
      <w:b/>
      <w:color w:themeColor="accent1" w:themeShade="BF" w:val="0F4761"/>
      <w:sz w:val="32"/>
      <w:szCs w:val="32"/>
    </w:rPr>
  </w:style>
  <w:style w:customStyle="1" w:styleId="Heading3Char" w:type="character">
    <w:name w:val="Heading 3 Char"/>
    <w:basedOn w:val="DefaultParagraphFont"/>
    <w:link w:val="Heading3"/>
    <w:uiPriority w:val="9"/>
    <w:rsid w:val="00FA1C42"/>
    <w:rPr>
      <w:rFonts w:ascii="Calibri" w:cs="Times New Roman (Headings CS)" w:eastAsiaTheme="majorEastAsia" w:hAnsi="Calibri"/>
      <w:b/>
      <w:color w:themeColor="accent1" w:themeShade="BF" w:val="0F4761"/>
      <w:sz w:val="28"/>
      <w:szCs w:val="28"/>
    </w:rPr>
  </w:style>
  <w:style w:customStyle="1" w:styleId="Heading4Char" w:type="character">
    <w:name w:val="Heading 4 Char"/>
    <w:basedOn w:val="DefaultParagraphFont"/>
    <w:link w:val="Heading4"/>
    <w:uiPriority w:val="9"/>
    <w:semiHidden/>
    <w:rsid w:val="00B31D39"/>
    <w:rPr>
      <w:rFonts w:cstheme="majorBidi" w:eastAsiaTheme="majorEastAsia"/>
      <w:i/>
      <w:iCs/>
      <w:color w:themeColor="accent1" w:themeShade="BF" w:val="0F4761"/>
    </w:rPr>
  </w:style>
  <w:style w:customStyle="1" w:styleId="Heading5Char" w:type="character">
    <w:name w:val="Heading 5 Char"/>
    <w:basedOn w:val="DefaultParagraphFont"/>
    <w:link w:val="Heading5"/>
    <w:uiPriority w:val="9"/>
    <w:semiHidden/>
    <w:rsid w:val="00B31D39"/>
    <w:rPr>
      <w:rFonts w:cstheme="majorBidi" w:eastAsiaTheme="majorEastAsia"/>
      <w:color w:themeColor="accent1" w:themeShade="BF" w:val="0F4761"/>
    </w:rPr>
  </w:style>
  <w:style w:customStyle="1" w:styleId="Heading6Char" w:type="character">
    <w:name w:val="Heading 6 Char"/>
    <w:basedOn w:val="DefaultParagraphFont"/>
    <w:link w:val="Heading6"/>
    <w:uiPriority w:val="9"/>
    <w:semiHidden/>
    <w:rsid w:val="00B31D39"/>
    <w:rPr>
      <w:rFonts w:cstheme="majorBidi" w:eastAsiaTheme="majorEastAsia"/>
      <w:i/>
      <w:iCs/>
      <w:color w:themeColor="text1" w:themeTint="A6" w:val="595959"/>
    </w:rPr>
  </w:style>
  <w:style w:customStyle="1" w:styleId="Heading7Char" w:type="character">
    <w:name w:val="Heading 7 Char"/>
    <w:basedOn w:val="DefaultParagraphFont"/>
    <w:link w:val="Heading7"/>
    <w:uiPriority w:val="9"/>
    <w:semiHidden/>
    <w:rsid w:val="00B31D39"/>
    <w:rPr>
      <w:rFonts w:cstheme="majorBidi" w:eastAsiaTheme="majorEastAsia"/>
      <w:color w:themeColor="text1" w:themeTint="A6" w:val="595959"/>
    </w:rPr>
  </w:style>
  <w:style w:customStyle="1" w:styleId="Heading8Char" w:type="character">
    <w:name w:val="Heading 8 Char"/>
    <w:basedOn w:val="DefaultParagraphFont"/>
    <w:link w:val="Heading8"/>
    <w:uiPriority w:val="9"/>
    <w:semiHidden/>
    <w:rsid w:val="00B31D39"/>
    <w:rPr>
      <w:rFonts w:cstheme="majorBidi" w:eastAsiaTheme="majorEastAsia"/>
      <w:i/>
      <w:iCs/>
      <w:color w:themeColor="text1" w:themeTint="D8" w:val="272727"/>
    </w:rPr>
  </w:style>
  <w:style w:customStyle="1" w:styleId="Heading9Char" w:type="character">
    <w:name w:val="Heading 9 Char"/>
    <w:basedOn w:val="DefaultParagraphFont"/>
    <w:link w:val="Heading9"/>
    <w:uiPriority w:val="9"/>
    <w:semiHidden/>
    <w:rsid w:val="00B31D39"/>
    <w:rPr>
      <w:rFonts w:cstheme="majorBidi" w:eastAsiaTheme="majorEastAsia"/>
      <w:color w:themeColor="text1" w:themeTint="D8" w:val="272727"/>
    </w:rPr>
  </w:style>
  <w:style w:styleId="Title" w:type="paragraph">
    <w:name w:val="Title"/>
    <w:basedOn w:val="Normal"/>
    <w:next w:val="Normal"/>
    <w:link w:val="TitleChar"/>
    <w:uiPriority w:val="10"/>
    <w:qFormat/>
    <w:rsid w:val="00B31D39"/>
    <w:pPr>
      <w:spacing w:after="80" w:line="240" w:lineRule="auto"/>
      <w:contextualSpacing/>
    </w:pPr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customStyle="1" w:styleId="TitleChar" w:type="character">
    <w:name w:val="Title Char"/>
    <w:basedOn w:val="DefaultParagraphFont"/>
    <w:link w:val="Title"/>
    <w:uiPriority w:val="10"/>
    <w:rsid w:val="00B31D39"/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styleId="Subtitle" w:type="paragraph">
    <w:name w:val="Subtitle"/>
    <w:basedOn w:val="Normal"/>
    <w:next w:val="Normal"/>
    <w:link w:val="SubtitleChar"/>
    <w:uiPriority w:val="11"/>
    <w:qFormat/>
    <w:rsid w:val="00B31D39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SubtitleChar" w:type="character">
    <w:name w:val="Subtitle Char"/>
    <w:basedOn w:val="DefaultParagraphFont"/>
    <w:link w:val="Subtitle"/>
    <w:uiPriority w:val="11"/>
    <w:rsid w:val="00B31D39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Quote" w:type="paragraph">
    <w:name w:val="Quote"/>
    <w:basedOn w:val="Normal"/>
    <w:next w:val="Normal"/>
    <w:link w:val="QuoteChar"/>
    <w:uiPriority w:val="29"/>
    <w:qFormat/>
    <w:rsid w:val="00B31D39"/>
    <w:pPr>
      <w:spacing w:before="160"/>
      <w:jc w:val="center"/>
    </w:pPr>
    <w:rPr>
      <w:i/>
      <w:iCs/>
      <w:color w:themeColor="text1" w:themeTint="BF" w:val="404040"/>
    </w:rPr>
  </w:style>
  <w:style w:customStyle="1" w:styleId="QuoteChar" w:type="character">
    <w:name w:val="Quote Char"/>
    <w:basedOn w:val="DefaultParagraphFont"/>
    <w:link w:val="Quote"/>
    <w:uiPriority w:val="29"/>
    <w:rsid w:val="00B31D39"/>
    <w:rPr>
      <w:i/>
      <w:iCs/>
      <w:color w:themeColor="text1" w:themeTint="BF" w:val="404040"/>
    </w:rPr>
  </w:style>
  <w:style w:styleId="ListParagraph" w:type="paragraph">
    <w:name w:val="List Paragraph"/>
    <w:basedOn w:val="Normal"/>
    <w:uiPriority w:val="34"/>
    <w:qFormat/>
    <w:rsid w:val="00B31D39"/>
    <w:pPr>
      <w:ind w:left="720"/>
      <w:contextualSpacing/>
    </w:pPr>
  </w:style>
  <w:style w:styleId="IntenseEmphasis" w:type="character">
    <w:name w:val="Intense Emphasis"/>
    <w:basedOn w:val="DefaultParagraphFont"/>
    <w:uiPriority w:val="21"/>
    <w:qFormat/>
    <w:rsid w:val="00B31D39"/>
    <w:rPr>
      <w:i/>
      <w:iCs/>
      <w:color w:themeColor="accent1" w:themeShade="BF" w:val="0F4761"/>
    </w:rPr>
  </w:style>
  <w:style w:styleId="IntenseQuote" w:type="paragraph">
    <w:name w:val="Intense Quote"/>
    <w:basedOn w:val="Normal"/>
    <w:next w:val="Normal"/>
    <w:link w:val="IntenseQuoteChar"/>
    <w:uiPriority w:val="30"/>
    <w:qFormat/>
    <w:rsid w:val="00B31D39"/>
    <w:pPr>
      <w:pBdr>
        <w:top w:color="0F4761" w:space="10" w:sz="4" w:themeColor="accent1" w:themeShade="BF" w:val="single"/>
        <w:bottom w:color="0F4761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0F4761"/>
    </w:rPr>
  </w:style>
  <w:style w:customStyle="1" w:styleId="IntenseQuoteChar" w:type="character">
    <w:name w:val="Intense Quote Char"/>
    <w:basedOn w:val="DefaultParagraphFont"/>
    <w:link w:val="IntenseQuote"/>
    <w:uiPriority w:val="30"/>
    <w:rsid w:val="00B31D39"/>
    <w:rPr>
      <w:i/>
      <w:iCs/>
      <w:color w:themeColor="accent1" w:themeShade="BF" w:val="0F4761"/>
    </w:rPr>
  </w:style>
  <w:style w:styleId="IntenseReference" w:type="character">
    <w:name w:val="Intense Reference"/>
    <w:basedOn w:val="DefaultParagraphFont"/>
    <w:uiPriority w:val="32"/>
    <w:qFormat/>
    <w:rsid w:val="00B31D39"/>
    <w:rPr>
      <w:b/>
      <w:bCs/>
      <w:smallCaps/>
      <w:color w:themeColor="accent1" w:themeShade="BF" w:val="0F4761"/>
      <w:spacing w:val="5"/>
    </w:rPr>
  </w:style>
  <w:style w:customStyle="1" w:styleId="CurrentList1" w:type="numbering">
    <w:name w:val="Current List1"/>
    <w:uiPriority w:val="99"/>
    <w:rsid w:val="00B31D39"/>
    <w:pPr>
      <w:numPr>
        <w:numId w:val="2"/>
      </w:numPr>
    </w:pPr>
  </w:style>
  <w:style w:customStyle="1" w:styleId="CurrentList2" w:type="numbering">
    <w:name w:val="Current List2"/>
    <w:uiPriority w:val="99"/>
    <w:rsid w:val="00B31D39"/>
    <w:pPr>
      <w:numPr>
        <w:numId w:val="4"/>
      </w:numPr>
    </w:pPr>
  </w:style>
  <w:style w:styleId="TableGrid" w:type="table">
    <w:name w:val="Table Grid"/>
    <w:basedOn w:val="TableNormal"/>
    <w:uiPriority w:val="39"/>
    <w:rsid w:val="008852B8"/>
    <w:pPr>
      <w:spacing w:after="0" w:line="240" w:lineRule="auto"/>
    </w:pPr>
    <w:rPr>
      <w:rFonts w:ascii="Calibri" w:hAnsi="Calibri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blStylePr w:type="firstRow">
      <w:rPr>
        <w:b/>
      </w:rPr>
      <w:tblPr/>
      <w:tcPr>
        <w:shd w:color="auto" w:fill="A5C9EB" w:themeFill="text2" w:themeFillTint="40" w:val="clear"/>
      </w:tcPr>
    </w:tblStylePr>
  </w:style>
  <w:style w:styleId="PlainTable1" w:type="table">
    <w:name w:val="Plain Table 1"/>
    <w:basedOn w:val="TableNormal"/>
    <w:uiPriority w:val="41"/>
    <w:rsid w:val="00E820F7"/>
    <w:pPr>
      <w:spacing w:after="0" w:line="240" w:lineRule="auto"/>
    </w:pPr>
    <w:tblPr>
      <w:tblStyleRowBandSize w:val="1"/>
      <w:tblStyleColBandSize w:val="1"/>
      <w:tblBorders>
        <w:top w:color="BFBFBF" w:space="0" w:sz="4" w:themeColor="background1" w:themeShade="BF" w:val="single"/>
        <w:left w:color="BFBFBF" w:space="0" w:sz="4" w:themeColor="background1" w:themeShade="BF" w:val="single"/>
        <w:bottom w:color="BFBFBF" w:space="0" w:sz="4" w:themeColor="background1" w:themeShade="BF" w:val="single"/>
        <w:right w:color="BFBFBF" w:space="0" w:sz="4" w:themeColor="background1" w:themeShade="BF" w:val="single"/>
        <w:insideH w:color="BFBFBF" w:space="0" w:sz="4" w:themeColor="background1" w:themeShade="BF" w:val="single"/>
        <w:insideV w:color="BFBFBF" w:space="0" w:sz="4" w:themeColor="background1" w:themeShade="BF" w:val="single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FBFBF" w:space="0" w:sz="4" w:themeColor="background1" w:themeShade="BF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2F2F2" w:themeFill="background1" w:themeFillShade="F2" w:val="clear"/>
      </w:tcPr>
    </w:tblStylePr>
    <w:tblStylePr w:type="band1Horz">
      <w:tblPr/>
      <w:tcPr>
        <w:shd w:color="auto" w:fill="F2F2F2" w:themeFill="background1" w:themeFillShade="F2" w:val="clear"/>
      </w:tcPr>
    </w:tblStylePr>
  </w:style>
  <w:style w:customStyle="1" w:styleId="SourceCode" w:type="paragraph">
    <w:name w:val="Source Code"/>
    <w:basedOn w:val="Normal"/>
    <w:pPr>
      <w:wordWrap w:val="0"/>
    </w:p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Pr>
      <w:i/>
      <w:color w:val="60A0B0"/>
    </w:rPr>
  </w:style>
  <w:style w:customStyle="1" w:styleId="DocumentationTok" w:type="character">
    <w:name w:val="DocumentationTok"/>
    <w:rPr>
      <w:i/>
      <w:color w:val="BA2121"/>
    </w:rPr>
  </w:style>
  <w:style w:customStyle="1" w:styleId="AnnotationTok" w:type="character">
    <w:name w:val="AnnotationTok"/>
    <w:rPr>
      <w:b/>
      <w:i/>
      <w:color w:val="60A0B0"/>
    </w:rPr>
  </w:style>
  <w:style w:customStyle="1" w:styleId="CommentVarTok" w:type="character">
    <w:name w:val="CommentVarTok"/>
    <w:rPr>
      <w:b/>
      <w:i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Pr>
      <w:b/>
      <w:i/>
      <w:color w:val="60A0B0"/>
    </w:rPr>
  </w:style>
  <w:style w:customStyle="1" w:styleId="WarningTok" w:type="character">
    <w:name w:val="WarningTok"/>
    <w:rPr>
      <w:b/>
      <w:i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7" Type="http://schemas.openxmlformats.org/officeDocument/2006/relationships/footnotes" Target="footnotes.xml"/><Relationship Id="rId8" Type="http://schemas.openxmlformats.org/officeDocument/2006/relationships/comments" Target="comments.xml"/><Relationship Id="rId30" Type="http://schemas.openxmlformats.org/officeDocument/2006/relationships/image" Target="media/rId30.png"/><Relationship Id="rId23" Type="http://schemas.openxmlformats.org/officeDocument/2006/relationships/image" Target="media/rId23.png"/><Relationship Id="rId20" Type="http://schemas.openxmlformats.org/officeDocument/2006/relationships/image" Target="media/rId20.png"/><Relationship Id="rId37" Type="http://schemas.openxmlformats.org/officeDocument/2006/relationships/hyperlink" Target="https://www.inrs.fr/publications/bdd/fichetox/fiche.html?refINRS=FICHETOX_66" TargetMode="External"/><Relationship Id="rId40" Type="http://schemas.openxmlformats.org/officeDocument/2006/relationships/hyperlink" Target="https://www.inrs.fr/publications/bdd/fichetox/fiche.html?refINRS=FICHETOX_66&amp;section=VLEPMesurage" TargetMode="External"/><Relationship Id="rId45" Type="http://schemas.openxmlformats.org/officeDocument/2006/relationships/hyperlink" Target="https://www.inrs.fr/publications/bdd/fichetox/fiche.html?refINRS=FICHETOX_66&amp;section=bibliographieAuteurs" TargetMode="External"/><Relationship Id="rId39" Type="http://schemas.openxmlformats.org/officeDocument/2006/relationships/hyperlink" Target="https://www.inrs.fr/publications/bdd/fichetox/fiche.html?refINRS=FICHETOX_66&amp;section=caracteristiques" TargetMode="External"/><Relationship Id="rId38" Type="http://schemas.openxmlformats.org/officeDocument/2006/relationships/hyperlink" Target="https://www.inrs.fr/publications/bdd/fichetox/fiche.html?refINRS=FICHETOX_66&amp;section=generalites" TargetMode="External"/><Relationship Id="rId41" Type="http://schemas.openxmlformats.org/officeDocument/2006/relationships/hyperlink" Target="https://www.inrs.fr/publications/bdd/fichetox/fiche.html?refINRS=FICHETOX_66&amp;section=incendieExplosion" TargetMode="External"/><Relationship Id="rId42" Type="http://schemas.openxmlformats.org/officeDocument/2006/relationships/hyperlink" Target="https://www.inrs.fr/publications/bdd/fichetox/fiche.html?refINRS=FICHETOX_66&amp;section=pathologieToxicologie" TargetMode="External"/><Relationship Id="rId44" Type="http://schemas.openxmlformats.org/officeDocument/2006/relationships/hyperlink" Target="https://www.inrs.fr/publications/bdd/fichetox/fiche.html?refINRS=FICHETOX_66&amp;section=recommandations" TargetMode="External"/><Relationship Id="rId43" Type="http://schemas.openxmlformats.org/officeDocument/2006/relationships/hyperlink" Target="https://www.inrs.fr/publications/bdd/fichetox/fiche.html?refINRS=FICHETOX_66&amp;section=reglementation" TargetMode="External"/></Relationships>
</file>

<file path=word/_rels/footnotes.xml.rels><?xml version='1.0' encoding='UTF-8' standalone='yes'?>
<Relationships xmlns="http://schemas.openxmlformats.org/package/2006/relationships"><Relationship Id="rId37" Type="http://schemas.openxmlformats.org/officeDocument/2006/relationships/hyperlink" Target="https://www.inrs.fr/publications/bdd/fichetox/fiche.html?refINRS=FICHETOX_66" TargetMode="External"/><Relationship Id="rId40" Type="http://schemas.openxmlformats.org/officeDocument/2006/relationships/hyperlink" Target="https://www.inrs.fr/publications/bdd/fichetox/fiche.html?refINRS=FICHETOX_66&amp;section=VLEPMesurage" TargetMode="External"/><Relationship Id="rId45" Type="http://schemas.openxmlformats.org/officeDocument/2006/relationships/hyperlink" Target="https://www.inrs.fr/publications/bdd/fichetox/fiche.html?refINRS=FICHETOX_66&amp;section=bibliographieAuteurs" TargetMode="External"/><Relationship Id="rId39" Type="http://schemas.openxmlformats.org/officeDocument/2006/relationships/hyperlink" Target="https://www.inrs.fr/publications/bdd/fichetox/fiche.html?refINRS=FICHETOX_66&amp;section=caracteristiques" TargetMode="External"/><Relationship Id="rId38" Type="http://schemas.openxmlformats.org/officeDocument/2006/relationships/hyperlink" Target="https://www.inrs.fr/publications/bdd/fichetox/fiche.html?refINRS=FICHETOX_66&amp;section=generalites" TargetMode="External"/><Relationship Id="rId41" Type="http://schemas.openxmlformats.org/officeDocument/2006/relationships/hyperlink" Target="https://www.inrs.fr/publications/bdd/fichetox/fiche.html?refINRS=FICHETOX_66&amp;section=incendieExplosion" TargetMode="External"/><Relationship Id="rId42" Type="http://schemas.openxmlformats.org/officeDocument/2006/relationships/hyperlink" Target="https://www.inrs.fr/publications/bdd/fichetox/fiche.html?refINRS=FICHETOX_66&amp;section=pathologieToxicologie" TargetMode="External"/><Relationship Id="rId44" Type="http://schemas.openxmlformats.org/officeDocument/2006/relationships/hyperlink" Target="https://www.inrs.fr/publications/bdd/fichetox/fiche.html?refINRS=FICHETOX_66&amp;section=recommandations" TargetMode="External"/><Relationship Id="rId43" Type="http://schemas.openxmlformats.org/officeDocument/2006/relationships/hyperlink" Target="https://www.inrs.fr/publications/bdd/fichetox/fiche.html?refINRS=FICHETOX_66&amp;section=reglementatio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28</Words>
  <Characters>129</Characters>
  <Application>Microsoft Office Word</Application>
  <DocSecurity>0</DocSecurity>
  <Lines>11</Lines>
  <Paragraphs>13</Paragraphs>
  <ScaleCrop>false</ScaleCrop>
  <Company/>
  <LinksUpToDate>false</LinksUpToDate>
  <CharactersWithSpaces>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2026-04-01T15:11:34Z</dcterms:created>
  <dcterms:modified xsi:type="dcterms:W3CDTF">2026-04-01T15:11:34Z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