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carterens-ep700waterloook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TOTAL BELGIUM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carterens-ep700waterloook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44" w:name="X11b9bfa5784b3e62f80e6284770f91f2686ce13"/>
    <w:p>
      <w:pPr>
        <w:pStyle w:val="Heading1"/>
      </w:pPr>
      <w:r>
        <w:t xml:space="preserve">Analyse des dangers : carterens-ep700waterloook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carterens-ep700waterloook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TOTAL BELGIUM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visqueux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Huile pour engrenages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2017-09-04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2017-09-04. Elle a donc 8 an(s).</w:t>
      </w:r>
    </w:p>
    <w:p>
      <w:pPr>
        <w:pStyle w:val="BodyText"/>
      </w:pPr>
      <w:r>
        <w:t xml:space="preserve">La FDS ayant plus de 5 ans, il est</w:t>
      </w:r>
      <w:r>
        <w:t xml:space="preserve"> </w:t>
      </w:r>
      <w:r>
        <w:rPr>
          <w:i/>
          <w:iCs/>
        </w:rPr>
        <w:t xml:space="preserve">nécessaire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3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Attention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drawing>
          <wp:inline>
            <wp:extent cx="719999" cy="719999"/>
            <wp:effectExtent b="0" l="0" r="0" t="0"/>
            <wp:docPr descr="Nocif / Irritant" title="" id="31" name="Picture"/>
            <a:graphic>
              <a:graphicData uri="http://schemas.openxmlformats.org/drawingml/2006/picture">
                <pic:pic>
                  <pic:nvPicPr>
                    <pic:cNvPr descr="templates/SGH07.png" id="32" name="Picture"/>
                    <pic:cNvPicPr>
                      <a:picLocks noChangeArrowheads="1"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999" cy="719999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Nocif / Irritant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numPr>
          <w:ilvl w:val="0"/>
          <w:numId w:val="1003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3"/>
        </w:numPr>
      </w:pPr>
      <w:r>
        <w:t xml:space="preserve">EUH066</w:t>
      </w:r>
      <w:r>
        <w:t xml:space="preserve"> </w:t>
      </w:r>
      <w:r>
        <w:t xml:space="preserve">L’exposition répétée peut provoquer dessèchement ou gerçures de la peau.</w:t>
      </w:r>
    </w:p>
    <w:p>
      <w:pPr>
        <w:numPr>
          <w:ilvl w:val="0"/>
          <w:numId w:val="1003"/>
        </w:numPr>
      </w:pPr>
      <w:r>
        <w:t xml:space="preserve">EUH208</w:t>
      </w:r>
      <w:r>
        <w:t xml:space="preserve"> </w:t>
      </w:r>
      <w:r>
        <w:t xml:space="preserve">Contient (nom de la substance sensibilisante). Peut produire une réaction allergique.</w:t>
      </w:r>
    </w:p>
    <w:p>
      <w:pPr>
        <w:pStyle w:val="FirstParagraph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numPr>
          <w:ilvl w:val="0"/>
          <w:numId w:val="1004"/>
        </w:numPr>
      </w:pPr>
      <w:r>
        <w:t xml:space="preserve">P280</w:t>
      </w:r>
      <w:r>
        <w:t xml:space="preserve"> </w:t>
      </w:r>
      <w:r>
        <w:t xml:space="preserve">Porter des gants de protection/des vêtements de protection/un équipement de protection des yeux/ du visage.</w:t>
      </w:r>
    </w:p>
    <w:p>
      <w:pPr>
        <w:numPr>
          <w:ilvl w:val="0"/>
          <w:numId w:val="1004"/>
        </w:numPr>
      </w:pPr>
      <w:r>
        <w:t xml:space="preserve">P305+P351+P338</w:t>
      </w:r>
      <w:r>
        <w:t xml:space="preserve"> </w:t>
      </w:r>
      <w:r>
        <w:t xml:space="preserve">EN CAS DE CONTACT AVEC LES YEUX: rincer avec précaution à l’eau pendant plusieurs minutes. Enlever les lentilles de contact si la victime en porte et si elles peuvent être facilement enlevées. Continuer à rincer.</w:t>
      </w:r>
    </w:p>
    <w:p>
      <w:pPr>
        <w:numPr>
          <w:ilvl w:val="0"/>
          <w:numId w:val="1004"/>
        </w:numPr>
      </w:pPr>
      <w:r>
        <w:t xml:space="preserve">P337+P313</w:t>
      </w:r>
      <w:r>
        <w:t xml:space="preserve"> </w:t>
      </w:r>
      <w:r>
        <w:t xml:space="preserve">Si l’irritation oculaire persiste: consulter un médecin.</w:t>
      </w:r>
    </w:p>
    <w:p>
      <w:pPr>
        <w:pStyle w:val="FirstParagraph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5"/>
        </w:numPr>
      </w:pPr>
      <w:r>
        <w:t xml:space="preserve">ADR : - pas disponible</w:t>
      </w:r>
    </w:p>
    <w:p>
      <w:pPr>
        <w:pStyle w:val="Compact"/>
        <w:numPr>
          <w:ilvl w:val="0"/>
          <w:numId w:val="1005"/>
        </w:numPr>
      </w:pPr>
      <w:r>
        <w:t xml:space="preserve">RID : - pas disponible</w:t>
      </w:r>
    </w:p>
    <w:p>
      <w:pPr>
        <w:pStyle w:val="Compact"/>
        <w:numPr>
          <w:ilvl w:val="0"/>
          <w:numId w:val="1005"/>
        </w:numPr>
      </w:pPr>
      <w:r>
        <w:t xml:space="preserve">ADN : classe 9</w:t>
      </w:r>
    </w:p>
    <w:p>
      <w:pPr>
        <w:pStyle w:val="Compact"/>
        <w:numPr>
          <w:ilvl w:val="0"/>
          <w:numId w:val="1005"/>
        </w:numPr>
      </w:pPr>
      <w:r>
        <w:t xml:space="preserve">IMDG : - pas disponible</w:t>
      </w:r>
    </w:p>
    <w:p>
      <w:pPr>
        <w:pStyle w:val="Compact"/>
        <w:numPr>
          <w:ilvl w:val="0"/>
          <w:numId w:val="1005"/>
        </w:numPr>
      </w:pPr>
      <w:r>
        <w:t xml:space="preserve">IATA : - pas disponible</w:t>
      </w:r>
    </w:p>
    <w:p>
      <w:pPr>
        <w:pStyle w:val="Compact"/>
        <w:numPr>
          <w:ilvl w:val="0"/>
          <w:numId w:val="1005"/>
        </w:numPr>
      </w:pPr>
      <w:r>
        <w:t xml:space="preserve">UN : ID9003</w:t>
      </w:r>
    </w:p>
    <w:bookmarkEnd w:id="33"/>
    <w:bookmarkStart w:id="34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Laver immédiatement à l’eau et au savon.</w:t>
      </w:r>
      <w:r>
        <w:t xml:space="preserve"> </w:t>
      </w:r>
      <w:r>
        <w:t xml:space="preserve">Enlever les vêtements contaminés et les chaussures.</w:t>
      </w:r>
      <w:r>
        <w:t xml:space="preserve"> </w:t>
      </w:r>
      <w:r>
        <w:t xml:space="preserve">Laver les vêtements contaminés avant réutilisation.</w:t>
      </w:r>
    </w:p>
    <w:p>
      <w:pPr>
        <w:pStyle w:val="BodyText"/>
      </w:pPr>
      <w:r>
        <w:t xml:space="preserve">eyes : Rincer immédiatement et abondamment à l’eau.</w:t>
      </w:r>
      <w:r>
        <w:t xml:space="preserve"> </w:t>
      </w:r>
      <w:r>
        <w:t xml:space="preserve">Après la première rinçage, enlever toute lentille de contact (si possible).</w:t>
      </w:r>
      <w:r>
        <w:t xml:space="preserve"> </w:t>
      </w:r>
      <w:r>
        <w:t xml:space="preserve">Continuer à rincer pendant au moins 15 min.</w:t>
      </w:r>
      <w:r>
        <w:t xml:space="preserve"> </w:t>
      </w:r>
      <w:r>
        <w:t xml:space="preserve">Maintenir l’œil bien ouvert pendant le rinçage.</w:t>
      </w:r>
    </w:p>
    <w:p>
      <w:pPr>
        <w:pStyle w:val="BodyText"/>
      </w:pPr>
      <w:r>
        <w:t xml:space="preserve">ingestion : Nettoyer la bouche avec de l’eau.</w:t>
      </w:r>
      <w:r>
        <w:t xml:space="preserve"> </w:t>
      </w:r>
      <w:r>
        <w:t xml:space="preserve">NE PAS faire vomir.</w:t>
      </w:r>
      <w:r>
        <w:t xml:space="preserve"> </w:t>
      </w:r>
      <w:r>
        <w:t xml:space="preserve">Ne jamais faire avaler à une personne inconsciente.</w:t>
      </w:r>
      <w:r>
        <w:t xml:space="preserve"> </w:t>
      </w:r>
      <w:r>
        <w:t xml:space="preserve">Appeler immédiatement un médecin ou un centre anti‑poison.</w:t>
      </w:r>
    </w:p>
    <w:p>
      <w:pPr>
        <w:pStyle w:val="BodyText"/>
      </w:pPr>
      <w:r>
        <w:t xml:space="preserve">inhalation : Évacuer la victime à l’air frais.</w:t>
      </w:r>
      <w:r>
        <w:t xml:space="preserve"> </w:t>
      </w:r>
      <w:r>
        <w:t xml:space="preserve">Laisser la victime au repos dans une position confortable.</w:t>
      </w:r>
      <w:r>
        <w:t xml:space="preserve"> </w:t>
      </w:r>
      <w:r>
        <w:t xml:space="preserve">En cas d’arrêt respiratoire, pratiquer la respiration artificielle.</w:t>
      </w:r>
    </w:p>
    <w:p>
      <w:r>
        <w:br w:type="page"/>
      </w:r>
    </w:p>
    <w:bookmarkEnd w:id="34"/>
    <w:bookmarkStart w:id="41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6" w:name="X0530e47db208a22570f0054d77f921fa6648aa0"/>
    <w:p>
      <w:pPr>
        <w:pStyle w:val="Heading3"/>
      </w:pPr>
      <w:r>
        <w:t xml:space="preserve">Hydrocarbures, C10-C13, n-alcane, isoalcane, cycliques, &lt;2% aromatiques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None</w:t>
      </w:r>
    </w:p>
    <w:p>
      <w:pPr>
        <w:pStyle w:val="Compact"/>
        <w:numPr>
          <w:ilvl w:val="0"/>
          <w:numId w:val="1006"/>
        </w:numPr>
      </w:pPr>
      <w:r>
        <w:t xml:space="preserve">N° EINECS : 918-481-9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:less or equal to 2.0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7"/>
        </w:numPr>
      </w:pPr>
      <w:r>
        <w:t xml:space="preserve">H304</w:t>
      </w:r>
      <w:r>
        <w:t xml:space="preserve"> </w:t>
      </w:r>
      <w:r>
        <w:t xml:space="preserve">Peut être mortel en cas d’ingestion et de pénétration dans les voies respiratoires.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5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5"/>
    <w:bookmarkEnd w:id="36"/>
    <w:bookmarkStart w:id="38" w:name="Xff38dff27b97e794bcff55efa4932349ecd35ae"/>
    <w:p>
      <w:pPr>
        <w:pStyle w:val="Heading3"/>
      </w:pPr>
      <w:r>
        <w:t xml:space="preserve">Acide phosphorodithioique, mélange d’esters 0,0-bis(isobutyl et penty1), sels de zinc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None</w:t>
      </w:r>
    </w:p>
    <w:p>
      <w:pPr>
        <w:pStyle w:val="Compact"/>
        <w:numPr>
          <w:ilvl w:val="0"/>
          <w:numId w:val="1008"/>
        </w:numPr>
      </w:pPr>
      <w:r>
        <w:t xml:space="preserve">N° EINECS : 270-608-0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1.0 to 2.5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9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9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09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7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7"/>
    <w:bookmarkEnd w:id="38"/>
    <w:bookmarkStart w:id="40" w:name="Xf86b1ef388142ab0f408a690bd2657c3658a1c4"/>
    <w:p>
      <w:pPr>
        <w:pStyle w:val="Heading3"/>
      </w:pPr>
      <w:r>
        <w:t xml:space="preserve">Produits de réaction du 4-méthyl-2-pentanol et du pentasulfure de diphosphore, propoxylé, estérifié avec le pentaoyde de diphosphore et des amines tert-alkyles en C12-C14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0"/>
        </w:numPr>
      </w:pPr>
      <w:r>
        <w:t xml:space="preserve">N° CAS : None</w:t>
      </w:r>
    </w:p>
    <w:p>
      <w:pPr>
        <w:pStyle w:val="Compact"/>
        <w:numPr>
          <w:ilvl w:val="0"/>
          <w:numId w:val="1010"/>
        </w:numPr>
      </w:pPr>
      <w:r>
        <w:t xml:space="preserve">N° EINECS : 931-384-6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:from 0.1 to 1.0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1"/>
        </w:numPr>
      </w:pPr>
      <w:r>
        <w:t xml:space="preserve">H302</w:t>
      </w:r>
      <w:r>
        <w:t xml:space="preserve"> </w:t>
      </w:r>
      <w:r>
        <w:t xml:space="preserve">Nocif en cas d’ingestion.</w:t>
      </w:r>
    </w:p>
    <w:p>
      <w:pPr>
        <w:numPr>
          <w:ilvl w:val="0"/>
          <w:numId w:val="1011"/>
        </w:numPr>
      </w:pPr>
      <w:r>
        <w:t xml:space="preserve">H317</w:t>
      </w:r>
      <w:r>
        <w:t xml:space="preserve"> </w:t>
      </w:r>
      <w:r>
        <w:t xml:space="preserve">Peut provoquer une allergie cutanée.</w:t>
      </w:r>
    </w:p>
    <w:p>
      <w:pPr>
        <w:numPr>
          <w:ilvl w:val="0"/>
          <w:numId w:val="1011"/>
        </w:numPr>
      </w:pPr>
      <w:r>
        <w:t xml:space="preserve">H318</w:t>
      </w:r>
      <w:r>
        <w:t xml:space="preserve"> </w:t>
      </w:r>
      <w:r>
        <w:t xml:space="preserve">Provoque des lésions oculaires graves.</w:t>
      </w:r>
    </w:p>
    <w:p>
      <w:pPr>
        <w:numPr>
          <w:ilvl w:val="0"/>
          <w:numId w:val="1011"/>
        </w:numPr>
      </w:pPr>
      <w:r>
        <w:t xml:space="preserve">H411</w:t>
      </w:r>
      <w:r>
        <w:t xml:space="preserve"> </w:t>
      </w:r>
      <w:r>
        <w:t xml:space="preserve">Toxique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9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9"/>
    <w:bookmarkEnd w:id="40"/>
    <w:bookmarkEnd w:id="41"/>
    <w:bookmarkStart w:id="42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des mains • Matériaux : caoutchouc fluoré ou caoutchouc nitrile (résistants aux hydrocarbures). • Normes : gants conformes aux normes EN 420 et EN 374. • Durée de protection : 480 minutes (8 h). • Épaisseur minimale : 0,38 mm. • Recommandation : porter des gants testés selon la norme EN 374 si les mains sont susceptibles d’être en contact avec le produit.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Lunettes / écrans faciaux • Protection latérale obligatoire. • Type : lunettes de sécurité avec protections latérales.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de protection des mains • Matériaux : caoutchouc fluoré ou caoutchouc nitrile (résistants aux hydrocarbures). • Normes : gants conformes aux normes EN 420 et EN 374. • Durée de protection : 480 minutes (8 h). • Épaisseur minimale : 0,38 mm. • Recommandation : porter des gants testés selon la norme EN 374 si les mains sont susceptibles d’être en contact avec le produit.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Masques respiratoires / filtres • En conditions normales d’utilisation : aucun masque requis. • En cas de concentrations supérieures aux limites d’exposition : porter un appareil respiratoire avec filtre combiné vapeurs/particules EN 14387, type A/P1.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/ combinaisons • Porter des vêtements de protection appropriés (manches longues). • Porter une combinaison appropriée pour éviter toute exposition de la peau (ex. lors de pulvérisation). • Chaussures ou bottes de sécurité également recommandées.</w:t>
            </w:r>
          </w:p>
        </w:tc>
      </w:tr>
    </w:tbl>
    <w:bookmarkEnd w:id="42"/>
    <w:bookmarkStart w:id="43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Utiliser uniquement dans des zones bien ventilées. - Ne pas respirer les vapeurs ou le brouillard de pulvérisation. - Éviter le contact avec la peau, les yeux et les vêtements. - Ne pas manger, boire ou fumer pendant l’utilisation. - Se laver les mains avant les pauses et immédiatement après manipulation du produit. - Nettoyer régulièrement l’équipement, la zone de travail et les vêtements. - Ne pas utiliser de produit abrasif, de solvant ou de carburant. - Ne pas s’essuyer les mains avec des chiffons qui ont servi au nettoyage. - Ne pas placer les chiffons imbibés de produit dans les poches des vêtements de travail.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Conserver à l’écart des aliments et boissons, y compris ceux pour animaux. - Stocker dans un bac de rétention. - Maintenir le récipient fermé de manière étanche. - Conserver de préférence dans l’emballage d’origine ; si l’emballage est changé, reporter toutes les indications de l’étiquette réglementaire sur le nouvel emballage. - Ne pas retirer les étiquettes de danger des récipients (mêmes vides). - Concevoir les installations pour éviter les projections accidentelles de produit (ex. rupture de joint) sur des carters chauds et des contacts électriques. - Stocker à température ambiante. - Protéger de l’humidité.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Huile pour engrenages</w:t>
            </w:r>
          </w:p>
        </w:tc>
      </w:tr>
    </w:tbl>
    <w:bookmarkEnd w:id="43"/>
    <w:bookmarkEnd w:id="44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30" Type="http://schemas.openxmlformats.org/officeDocument/2006/relationships/image" Target="media/rId30.png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2026-04-01T15:16:09Z</dcterms:created>
  <dcterms:modified xsi:type="dcterms:W3CDTF">2026-04-01T15:16:09Z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