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castollin-activatec1000rosieresok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 Messer Eutectic Castolin Benelux NV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castollin-activatec1000rosieresok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0" w:name="X0a042999da06633aaec72a87ce82a4bbde9d5e0"/>
    <w:p>
      <w:pPr>
        <w:pStyle w:val="Heading1"/>
      </w:pPr>
      <w:r>
        <w:t xml:space="preserve">Analyse des dangers : castollin-activatec1000rosieresok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castollin-activatec1000rosieresok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 Messer Eutectic Castolin Benelux NV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pâteux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une consistance visqueuse, semblable à une pâte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Décapant de brasage.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2012-02-29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2012-02-29. Elle a donc 14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P202</w:t>
      </w:r>
      <w:r>
        <w:t xml:space="preserve"> </w:t>
      </w:r>
      <w:r>
        <w:t xml:space="preserve">Ne pas manipuler avant d’avoir lu et compris toutes les précautions de sécurité.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P285</w:t>
      </w:r>
      <w:r>
        <w:t xml:space="preserve"> </w:t>
      </w:r>
      <w:r>
        <w:t xml:space="preserve">Lorsque la ventilation du local est insuffisante, porter un équipement de protection respiratoire.</w:t>
      </w:r>
    </w:p>
    <w:p>
      <w:pPr>
        <w:numPr>
          <w:ilvl w:val="0"/>
          <w:numId w:val="1004"/>
        </w:numPr>
      </w:pPr>
      <w:r>
        <w:t xml:space="preserve">P314</w:t>
      </w:r>
      <w:r>
        <w:t xml:space="preserve"> </w:t>
      </w:r>
      <w:r>
        <w:t xml:space="preserve">Consulter un médecin en cas de malaise.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et abondamment la zone touchée à l’eau.</w:t>
      </w:r>
      <w:r>
        <w:t xml:space="preserve"> </w:t>
      </w:r>
      <w:r>
        <w:t xml:space="preserve">Consulter, le cas échéant, un médecin.</w:t>
      </w:r>
    </w:p>
    <w:p>
      <w:pPr>
        <w:pStyle w:val="BodyText"/>
      </w:pPr>
      <w:r>
        <w:t xml:space="preserve">eyes : Laver immédiatement et abondamment les yeux avec de l’eau.</w:t>
      </w:r>
      <w:r>
        <w:t xml:space="preserve"> </w:t>
      </w:r>
      <w:r>
        <w:t xml:space="preserve">Consulter un spécialiste.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Faire avaler au plus tôt une quinzaine d’ampoules de chlorure de calcium.</w:t>
      </w:r>
      <w:r>
        <w:t xml:space="preserve"> </w:t>
      </w:r>
      <w:r>
        <w:t xml:space="preserve">Emmener à l’hôpital.</w:t>
      </w:r>
    </w:p>
    <w:p>
      <w:pPr>
        <w:pStyle w:val="BodyText"/>
      </w:pPr>
      <w:r>
        <w:t xml:space="preserve">inhalation : Éloigner immédiatement les personnes contaminées et les transporter à l’air frais.</w:t>
      </w:r>
      <w:r>
        <w:t xml:space="preserve"> </w:t>
      </w:r>
      <w:r>
        <w:t xml:space="preserve">Consulter, le cas échéant, un médecin.</w:t>
      </w:r>
    </w:p>
    <w:p>
      <w:r>
        <w:br w:type="page"/>
      </w:r>
    </w:p>
    <w:bookmarkEnd w:id="34"/>
    <w:bookmarkStart w:id="3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Xa126b5c0915a0fd9a297e455a64a3cc45fb9aa4"/>
    <w:p>
      <w:pPr>
        <w:pStyle w:val="Heading3"/>
      </w:pPr>
      <w:r>
        <w:t xml:space="preserve">fluoroborates{separator}CAS: Aucune{separator}EINECS: Aucune{separator}H codes: H302;H319{separator}Concentration: &gt;50%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None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End w:id="37"/>
    <w:bookmarkStart w:id="3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Gants de protection pour soudeurs conformes à la norme NF‑EN 407.</w:t>
            </w:r>
            <w:r>
              <w:rPr>
                <w:sz w:val="20"/>
                <w:szCs w:val="20"/>
              </w:rPr>
              <w:t xml:space="preserve">• Gants protecteurs à résistance chimique en butyle.</w:t>
            </w:r>
            <w:r>
              <w:rPr>
                <w:sz w:val="20"/>
                <w:szCs w:val="20"/>
              </w:rPr>
              <w:t xml:space="preserve">• Épaisseur de la couche minimum 0,7 mm.</w:t>
            </w:r>
            <w:r>
              <w:rPr>
                <w:sz w:val="20"/>
                <w:szCs w:val="20"/>
              </w:rPr>
              <w:t xml:space="preserve">• Résistance à la pénétration (durée de port) environ 480 minutes (≈ 8 h) – la mention « 60 minutes » est probablement une erreur de transcription, la valeur correcte indiquée est 480 minutes.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Appareil respiratoire autonome à porter en cas de ventilation insuffisante.</w:t>
            </w:r>
            <w:r>
              <w:rPr>
                <w:sz w:val="20"/>
                <w:szCs w:val="20"/>
              </w:rPr>
              <w:t xml:space="preserve">• Filtre à combinaison multiple ABEK/P3 (conforme aux normes de protection contre les particules et les gaz).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38"/>
    <w:bookmarkStart w:id="3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uniquement dans des zones bien ventilées. - Éviter tout contact avec les yeux, la peau et les muqueuses. - Ne pas inhaler les vapeurs/poussières. - Lors de l’utilisation, ne pas manger, boire ou fumer.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 : - Conserver les récipients hermétiquement fermés, à l’abri de l’humidité. - Ne pas stocker avec des produits alimentaires. - Conserver dans l’emballage d’origine bien fermé. Incompatibilités : - Le contact avec des acides forts libère de l’acide fluorhydrique.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Décapant de brasage.</w:t>
            </w:r>
          </w:p>
        </w:tc>
      </w:tr>
    </w:tbl>
    <w:bookmarkEnd w:id="39"/>
    <w:bookmarkEnd w:id="4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2026-04-01T15:18:52Z</dcterms:created>
  <dcterms:modified xsi:type="dcterms:W3CDTF">2026-04-01T15:18:52Z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