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castrol-axleepx80w-90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Castrol Lubricants, Div.BP Europa SE – BP Belgium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castrol-axleepx80w-90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39" w:name="X6039da2562b78a4d6cc7935afce7851a4015588"/>
    <w:p>
      <w:pPr>
        <w:pStyle w:val="Heading1"/>
      </w:pPr>
      <w:r>
        <w:t xml:space="preserve">Analyse des dangers : castrol-axleepx80w-90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castrol-axleepx80w-90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Castrol Lubricants, Div.BP Europa SE – BP Belgium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 (pas de poudre, grains, granulés, pastilles ou pâte)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générale de lubrifiants et de graisses dans des véhicules ou des machines – Industriel (et également Professionnel)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2018-01-05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2018-01-05. Elle a donc 8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3"/>
        </w:numPr>
      </w:pPr>
      <w:r>
        <w:t xml:space="preserve">H412</w:t>
      </w:r>
      <w:r>
        <w:t xml:space="preserve"> </w:t>
      </w:r>
      <w:r>
        <w:t xml:space="preserve">Nocif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P273</w:t>
      </w:r>
      <w:r>
        <w:t xml:space="preserve"> </w:t>
      </w:r>
      <w:r>
        <w:t xml:space="preserve">Éviter le rejet dans l’environnement.</w:t>
      </w:r>
    </w:p>
    <w:p>
      <w:pPr>
        <w:numPr>
          <w:ilvl w:val="0"/>
          <w:numId w:val="1004"/>
        </w:numPr>
      </w:pPr>
      <w:r>
        <w:t xml:space="preserve">P501</w:t>
      </w:r>
      <w:r>
        <w:t xml:space="preserve"> </w:t>
      </w:r>
      <w:r>
        <w:t xml:space="preserve">Éliminer le contenu/récipient dans …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-</w:t>
      </w:r>
    </w:p>
    <w:p>
      <w:pPr>
        <w:pStyle w:val="Compact"/>
        <w:numPr>
          <w:ilvl w:val="0"/>
          <w:numId w:val="1005"/>
        </w:numPr>
      </w:pPr>
      <w:r>
        <w:t xml:space="preserve">RID : -</w:t>
      </w:r>
    </w:p>
    <w:p>
      <w:pPr>
        <w:pStyle w:val="Compact"/>
        <w:numPr>
          <w:ilvl w:val="0"/>
          <w:numId w:val="1005"/>
        </w:numPr>
      </w:pPr>
      <w:r>
        <w:t xml:space="preserve">ADN : -</w:t>
      </w:r>
    </w:p>
    <w:p>
      <w:pPr>
        <w:pStyle w:val="Compact"/>
        <w:numPr>
          <w:ilvl w:val="0"/>
          <w:numId w:val="1005"/>
        </w:numPr>
      </w:pPr>
      <w:r>
        <w:t xml:space="preserve">IMDG : -</w:t>
      </w:r>
    </w:p>
    <w:p>
      <w:pPr>
        <w:pStyle w:val="Compact"/>
        <w:numPr>
          <w:ilvl w:val="0"/>
          <w:numId w:val="1005"/>
        </w:numPr>
      </w:pPr>
      <w:r>
        <w:t xml:space="preserve">IATA : -</w:t>
      </w:r>
    </w:p>
    <w:p>
      <w:pPr>
        <w:pStyle w:val="Compact"/>
        <w:numPr>
          <w:ilvl w:val="0"/>
          <w:numId w:val="1005"/>
        </w:numPr>
      </w:pPr>
      <w:r>
        <w:t xml:space="preserve">UN : Non réglementé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• Rincer la peau contaminée à grande eau.</w:t>
      </w:r>
      <w:r>
        <w:t xml:space="preserve"> </w:t>
      </w:r>
      <w:r>
        <w:t xml:space="preserve">• Retirer les vêtements et les chaussures contaminés.</w:t>
      </w:r>
      <w:r>
        <w:t xml:space="preserve"> </w:t>
      </w:r>
      <w:r>
        <w:t xml:space="preserve">• Laver les vêtements avant de les réutiliser.</w:t>
      </w:r>
      <w:r>
        <w:t xml:space="preserve"> </w:t>
      </w:r>
      <w:r>
        <w:t xml:space="preserve">• Laver les chaussures à fond avant de les remettre.</w:t>
      </w:r>
      <w:r>
        <w:t xml:space="preserve"> </w:t>
      </w:r>
      <w:r>
        <w:t xml:space="preserve">• En cas d’irritation, consulter un médecin.</w:t>
      </w:r>
    </w:p>
    <w:p>
      <w:pPr>
        <w:pStyle w:val="BodyText"/>
      </w:pPr>
      <w:r>
        <w:t xml:space="preserve">eyes : • Laver immédiatement les yeux à grande eau pendant au moins 15 minutes.</w:t>
      </w:r>
      <w:r>
        <w:t xml:space="preserve"> </w:t>
      </w:r>
      <w:r>
        <w:t xml:space="preserve">• Éloigner les paupières du globe oculaire pour un rinçage approfondi.</w:t>
      </w:r>
      <w:r>
        <w:t xml:space="preserve"> </w:t>
      </w:r>
      <w:r>
        <w:t xml:space="preserve">• Vérifier si la victime porte des verres de contact et, le cas échéant, les lui enlever.</w:t>
      </w:r>
      <w:r>
        <w:t xml:space="preserve"> </w:t>
      </w:r>
      <w:r>
        <w:t xml:space="preserve">• En cas d’irritation, consulter un médecin.</w:t>
      </w:r>
    </w:p>
    <w:p>
      <w:pPr>
        <w:pStyle w:val="BodyText"/>
      </w:pPr>
      <w:r>
        <w:t xml:space="preserve">ingestion : • Ne pas faire vomir sauf indication contraire d’un personnel médical.</w:t>
      </w:r>
      <w:r>
        <w:t xml:space="preserve"> </w:t>
      </w:r>
      <w:r>
        <w:t xml:space="preserve">• Ne rien faire si la personne est inconsciente.</w:t>
      </w:r>
      <w:r>
        <w:t xml:space="preserve"> </w:t>
      </w:r>
      <w:r>
        <w:t xml:space="preserve">• En cas d’évanouissement, placer la personne en position latérale de sécurité et appeler un médecin immédiatement.</w:t>
      </w:r>
      <w:r>
        <w:t xml:space="preserve"> </w:t>
      </w:r>
      <w:r>
        <w:t xml:space="preserve">• Consulter un médecin si des symptômes se développent.</w:t>
      </w:r>
    </w:p>
    <w:p>
      <w:pPr>
        <w:pStyle w:val="BodyText"/>
      </w:pPr>
      <w:r>
        <w:t xml:space="preserve">inhalation : • Déplacer la personne à l’air frais.</w:t>
      </w:r>
      <w:r>
        <w:t xml:space="preserve"> </w:t>
      </w:r>
      <w:r>
        <w:t xml:space="preserve">• Consulter un médecin si des symptômes apparaissent.</w:t>
      </w:r>
    </w:p>
    <w:p>
      <w:r>
        <w:br w:type="page"/>
      </w:r>
    </w:p>
    <w:bookmarkEnd w:id="31"/>
    <w:bookmarkStart w:id="36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3" w:name="amines-tert-alkyles-en-c12-14"/>
    <w:p>
      <w:pPr>
        <w:pStyle w:val="Heading3"/>
      </w:pPr>
      <w:r>
        <w:t xml:space="preserve">amines tert-alkyles en C12-14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68955-53-3</w:t>
      </w:r>
    </w:p>
    <w:p>
      <w:pPr>
        <w:pStyle w:val="Compact"/>
        <w:numPr>
          <w:ilvl w:val="0"/>
          <w:numId w:val="1006"/>
        </w:numPr>
      </w:pPr>
      <w:r>
        <w:t xml:space="preserve">N° EINECS : 273-279-1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0.3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07"/>
        </w:numPr>
      </w:pPr>
      <w:r>
        <w:t xml:space="preserve">H311</w:t>
      </w:r>
      <w:r>
        <w:t xml:space="preserve"> </w:t>
      </w:r>
      <w:r>
        <w:t xml:space="preserve">Toxique par contact cutané.</w:t>
      </w:r>
    </w:p>
    <w:p>
      <w:pPr>
        <w:numPr>
          <w:ilvl w:val="0"/>
          <w:numId w:val="1007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numPr>
          <w:ilvl w:val="0"/>
          <w:numId w:val="1007"/>
        </w:numPr>
      </w:pPr>
      <w:r>
        <w:t xml:space="preserve">H317</w:t>
      </w:r>
      <w:r>
        <w:t xml:space="preserve"> </w:t>
      </w:r>
      <w:r>
        <w:t xml:space="preserve">Peut provoquer une allergie cutanée.</w:t>
      </w:r>
    </w:p>
    <w:p>
      <w:pPr>
        <w:numPr>
          <w:ilvl w:val="0"/>
          <w:numId w:val="1007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numPr>
          <w:ilvl w:val="0"/>
          <w:numId w:val="1007"/>
        </w:numPr>
      </w:pPr>
      <w:r>
        <w:t xml:space="preserve">H330</w:t>
      </w:r>
      <w:r>
        <w:t xml:space="preserve"> </w:t>
      </w:r>
      <w:r>
        <w:t xml:space="preserve">Fatal if inhaled</w:t>
      </w:r>
    </w:p>
    <w:p>
      <w:pPr>
        <w:numPr>
          <w:ilvl w:val="0"/>
          <w:numId w:val="1007"/>
        </w:numPr>
      </w:pPr>
      <w:r>
        <w:t xml:space="preserve">H335</w:t>
      </w:r>
      <w:r>
        <w:t xml:space="preserve"> </w:t>
      </w:r>
      <w:r>
        <w:t xml:space="preserve">Peut irriter les voies respiratoires.</w:t>
      </w:r>
    </w:p>
    <w:p>
      <w:pPr>
        <w:numPr>
          <w:ilvl w:val="0"/>
          <w:numId w:val="1007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07"/>
        </w:numPr>
      </w:pPr>
      <w:r>
        <w:t xml:space="preserve">H410</w:t>
      </w:r>
      <w:r>
        <w:t xml:space="preserve"> </w:t>
      </w:r>
      <w:r>
        <w:t xml:space="preserve">Très 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2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2"/>
    <w:bookmarkEnd w:id="33"/>
    <w:bookmarkStart w:id="35" w:name="z-octadéc-9-énylamine"/>
    <w:p>
      <w:pPr>
        <w:pStyle w:val="Heading3"/>
      </w:pPr>
      <w:r>
        <w:t xml:space="preserve">(Z)-octadéc-9-énylamine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8"/>
        </w:numPr>
      </w:pPr>
      <w:r>
        <w:t xml:space="preserve">N° CAS : 112-90-3</w:t>
      </w:r>
    </w:p>
    <w:p>
      <w:pPr>
        <w:pStyle w:val="Compact"/>
        <w:numPr>
          <w:ilvl w:val="0"/>
          <w:numId w:val="1008"/>
        </w:numPr>
      </w:pPr>
      <w:r>
        <w:t xml:space="preserve">N° EINECS : 204-015-5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0.1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9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09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09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numPr>
          <w:ilvl w:val="0"/>
          <w:numId w:val="1009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numPr>
          <w:ilvl w:val="0"/>
          <w:numId w:val="1009"/>
        </w:numPr>
      </w:pPr>
      <w:r>
        <w:t xml:space="preserve">H335</w:t>
      </w:r>
      <w:r>
        <w:t xml:space="preserve"> </w:t>
      </w:r>
      <w:r>
        <w:t xml:space="preserve">Peut irriter les voies respiratoires.</w:t>
      </w:r>
    </w:p>
    <w:p>
      <w:pPr>
        <w:numPr>
          <w:ilvl w:val="0"/>
          <w:numId w:val="1009"/>
        </w:numPr>
      </w:pPr>
      <w:r>
        <w:t xml:space="preserve">H373</w:t>
      </w:r>
      <w:r>
        <w:t xml:space="preserve"> </w:t>
      </w:r>
      <w:r>
        <w:t xml:space="preserve">Risque présumé d’effets graves pour les organes à la suite d’expositions répétées ou d’une exposition prolongée.</w:t>
      </w:r>
    </w:p>
    <w:p>
      <w:pPr>
        <w:numPr>
          <w:ilvl w:val="0"/>
          <w:numId w:val="1009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09"/>
        </w:numPr>
      </w:pPr>
      <w:r>
        <w:t xml:space="preserve">H410</w:t>
      </w:r>
      <w:r>
        <w:t xml:space="preserve"> </w:t>
      </w:r>
      <w:r>
        <w:t xml:space="preserve">Très 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4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4"/>
    <w:bookmarkEnd w:id="35"/>
    <w:bookmarkEnd w:id="36"/>
    <w:bookmarkStart w:id="37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• Normes: EN 420 (gants de protection générale) et EN 374 (gants résistants aux produits chimiques). • Durée de percement recommandée :  – Contact continu : ≥ 240 min (idéalement &gt; 480 min si possible).  – Protection à court terme / éclaboussures : mêmes durées que pour le contact continu. • Épaisseur : &gt; 0,35 mm pour les applications générales. • Matériau : non précisé dans le document, mais doit être choisi en fonction du produit chimique manipulé et des conditions de travail (voir recommandations générales).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des yeux / du visage • Lunettes de sécurité avec protections latérales. • Normes: EN 166 (lunettes de protection). • Les lunettes doivent être portées en permanence lors de la manipulation du produit.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• Normes: EN 420 (gants de protection générale) et EN 374 (gants résistants aux produits chimiques). • Durée de percement recommandée :  – Contact continu : ≥ 240 min (idéalement &gt; 480 min si possible).  – Protection à court terme / éclaboussures : mêmes durées que pour le contact continu. • Épaisseur : &gt; 0,35 mm pour les applications générales. • Matériau : non précisé dans le document, mais doit être choisi en fonction du produit chimique manipulé et des conditions de travail (voir recommandations générales).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respiratoire • Normes: EN 529 (appareils respiratoires à filtre). • Options de masque :  – Demi-masque filtrant: EN 149  – Demi-masque filtrant avec vanne: EN 405  – Demi-masque: EN 140 + filtre  – Masque intégral: EN 136 + filtre • Filtres à particules: EN 143 • Filtres à gaz / combinés: EN 14387 • Le choix du masque dépend du type de produit chimique, des conditions de travail et de l’état de l’équipement respiratoire. • Des procédures de sécurité doivent être établies pour chaque application envisagée.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 / combinaisons • Normes: EN 469 (vêtements de protection pour sapeurs-pompiers, mais applicable aux combinaisons de protection chimique). • Vêtements de travail en coton ou en polyester/coton ne protègent qu’une contamination superficielle légère. • Les combinaisons et bottes de protection doivent être choisies en fonction de la tâche et du risque d’exposition cutanée élevé (ex. nettoyage de tabliers résistants aux agents chimiques). • Les vêtements doivent être lavés régulièrement et portés uniquement avec le matériel et les emballages prévus pour ce produit.</w:t>
            </w:r>
          </w:p>
        </w:tc>
      </w:tr>
    </w:tbl>
    <w:bookmarkEnd w:id="37"/>
    <w:bookmarkStart w:id="38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Porter un équipement de protection individuelle adapté. - Ne pas avaler. - Éviter le contact avec les yeux, la peau et les vêtements. - Éviter de respirer les vapeurs ou le brouillard. - Éviter tout contact du produit répandu et des écoulements avec le sol et les eaux superficielles. - Garder le produit dans le conteneur d’origine ou dans un autre conteneur de substitution homologué fabriqué à partir d’un matériau compatible et tenu hermétiquement clos lorsqu’il n’est pas utilisé. - Ne pas réutiliser ce conteneur. - Les conteneurs vides retiennent des résidus de produit et peuvent présenter un danger.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Stocker conformément à la réglementation locale. - Stocker dans une zone sèche, fraîche et bien ventilée, loin des matières incompatibles (voir rubrique 10). - Garder loin de la chaleur ou de la lumière directe du soleil. - Garder le récipient hermétiquement fermé lorsque le produit n’est pas utilisé. - Les récipients ayant été ouverts doivent être refermés avec soin et maintenus en position verticale afin d’éviter les fuites. - Stocker et utiliser uniquement avec le matériel et les emballages prévus pour ce produit. - Ne pas stocker dans des contenants non étiquetés. - Utiliser un récipient approprié pour éviter toute contamination du milieu ambiant.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générale de lubrifiants et de graisses dans des véhicules ou des machines – Industriel (et également Professionnel)</w:t>
            </w:r>
          </w:p>
        </w:tc>
      </w:tr>
    </w:tbl>
    <w:bookmarkEnd w:id="38"/>
    <w:bookmarkEnd w:id="39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2026-04-01T15:23:55Z</dcterms:created>
  <dcterms:modified xsi:type="dcterms:W3CDTF">2026-04-01T15:23:55Z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