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ceranxm220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LUBRIFIANTS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ceranxm220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1" w:name="analyse-des-dangers-ceranxm220"/>
    <w:p>
      <w:pPr>
        <w:pStyle w:val="Heading1"/>
      </w:pPr>
      <w:r>
        <w:t xml:space="preserve">Analyse des dangers : ceranxm220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ceranxm220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LUBRIFIANTS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Graisse lubrifiante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2016-12-20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2016-12-20.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numPr>
          <w:ilvl w:val="0"/>
          <w:numId w:val="1003"/>
        </w:numPr>
      </w:pPr>
      <w:r>
        <w:t xml:space="preserve">EUH210</w:t>
      </w:r>
      <w:r>
        <w:t xml:space="preserve"> </w:t>
      </w:r>
      <w:r>
        <w:t xml:space="preserve">Fiche de données de sécurité disponible sur demande.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pas disponible</w:t>
      </w:r>
    </w:p>
    <w:p>
      <w:pPr>
        <w:pStyle w:val="Compact"/>
        <w:numPr>
          <w:ilvl w:val="0"/>
          <w:numId w:val="1004"/>
        </w:numPr>
      </w:pPr>
      <w:r>
        <w:t xml:space="preserve">RID : pas disponible</w:t>
      </w:r>
    </w:p>
    <w:p>
      <w:pPr>
        <w:pStyle w:val="Compact"/>
        <w:numPr>
          <w:ilvl w:val="0"/>
          <w:numId w:val="1004"/>
        </w:numPr>
      </w:pPr>
      <w:r>
        <w:t xml:space="preserve">ADN : pas disponible</w:t>
      </w:r>
    </w:p>
    <w:p>
      <w:pPr>
        <w:pStyle w:val="Compact"/>
        <w:numPr>
          <w:ilvl w:val="0"/>
          <w:numId w:val="1004"/>
        </w:numPr>
      </w:pPr>
      <w:r>
        <w:t xml:space="preserve">IMDG : pas disponible</w:t>
      </w:r>
    </w:p>
    <w:p>
      <w:pPr>
        <w:pStyle w:val="Compact"/>
        <w:numPr>
          <w:ilvl w:val="0"/>
          <w:numId w:val="1004"/>
        </w:numPr>
      </w:pPr>
      <w:r>
        <w:t xml:space="preserve">IATA : pas disponible</w:t>
      </w:r>
    </w:p>
    <w:p>
      <w:pPr>
        <w:pStyle w:val="Compact"/>
        <w:numPr>
          <w:ilvl w:val="0"/>
          <w:numId w:val="1004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Enlever les vêtements et chaussures contaminés.</w:t>
      </w:r>
      <w:r>
        <w:t xml:space="preserve">• Laver la peau avec de l’eau et du savon.</w:t>
      </w:r>
      <w:r>
        <w:t xml:space="preserve">• Laver les vêtements contaminés avant réutilisation.</w:t>
      </w:r>
      <w:r>
        <w:t xml:space="preserve">• Les jets à haute pression peuvent endommager la peau ; éviter l’utilisation de jets d’eau puissants.</w:t>
      </w:r>
      <w:r>
        <w:t xml:space="preserve">• Transporter immédiatement la victime à l’hôpital si les troubles sont graves ou persistants.</w:t>
      </w:r>
    </w:p>
    <w:p>
      <w:pPr>
        <w:pStyle w:val="BodyText"/>
      </w:pPr>
      <w:r>
        <w:t xml:space="preserve">eyes : Contact avec les yeux | • Rincer abondamment les yeux, y compris sous les paupières, avec beaucoup d’eau.</w:t>
      </w:r>
    </w:p>
    <w:p>
      <w:pPr>
        <w:pStyle w:val="BodyText"/>
      </w:pPr>
      <w:r>
        <w:t xml:space="preserve">ingestion : Ingestion | • NE PAS faire vomir.</w:t>
      </w:r>
      <w:r>
        <w:t xml:space="preserve">• Ne jamais faire avaler quoi que ce soit à une personne inconsciente.</w:t>
      </w:r>
      <w:r>
        <w:t xml:space="preserve">• Appeler immédiatement un médecin ou un centre anti‑poison.</w:t>
      </w:r>
    </w:p>
    <w:p>
      <w:pPr>
        <w:pStyle w:val="BodyText"/>
      </w:pPr>
      <w:r>
        <w:t xml:space="preserve">inhalation : Inhalation | • Amener la victime à l’air libre.</w:t>
      </w:r>
      <w:r>
        <w:t xml:space="preserve">• Si l’inhalation est sévère, appeler immédiatement un médecin ou un centre anti‑poison.</w:t>
      </w:r>
    </w:p>
    <w:p>
      <w:r>
        <w:br w:type="page"/>
      </w:r>
    </w:p>
    <w:bookmarkEnd w:id="31"/>
    <w:bookmarkStart w:id="3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benzene-sulfonic-acid"/>
    <w:p>
      <w:pPr>
        <w:pStyle w:val="Heading3"/>
      </w:pPr>
      <w:r>
        <w:t xml:space="preserve">Benzene, sulfonic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70024-69-0</w:t>
      </w:r>
    </w:p>
    <w:p>
      <w:pPr>
        <w:pStyle w:val="Compact"/>
        <w:numPr>
          <w:ilvl w:val="0"/>
          <w:numId w:val="1005"/>
        </w:numPr>
      </w:pPr>
      <w:r>
        <w:t xml:space="preserve">N° EINECS : 274-263-7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X6b49acf6e138bd22a05678b8488661561e7be5a"/>
    <w:p>
      <w:pPr>
        <w:pStyle w:val="Heading3"/>
      </w:pPr>
      <w:r>
        <w:t xml:space="preserve">mono-C16-24-alkyl derivatives, calcium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61789-86-4</w:t>
      </w:r>
    </w:p>
    <w:p>
      <w:pPr>
        <w:pStyle w:val="Compact"/>
        <w:numPr>
          <w:ilvl w:val="0"/>
          <w:numId w:val="1007"/>
        </w:numPr>
      </w:pPr>
      <w:r>
        <w:t xml:space="preserve">N° EINECS : 263-093-9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Xe26cdfec3393be21af4bd05c78402fe3ff06c12"/>
    <w:p>
      <w:pPr>
        <w:pStyle w:val="Heading3"/>
      </w:pPr>
      <w:r>
        <w:t xml:space="preserve">Acide benzènesulfonique, dérivés alkyles en C10-16, sels de calcium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68584-23-6</w:t>
      </w:r>
    </w:p>
    <w:p>
      <w:pPr>
        <w:pStyle w:val="Compact"/>
        <w:numPr>
          <w:ilvl w:val="0"/>
          <w:numId w:val="1009"/>
        </w:numPr>
      </w:pPr>
      <w:r>
        <w:t xml:space="preserve">N° EINECS : 271-529-4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End w:id="38"/>
    <w:bookmarkStart w:id="3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• Gants résistants aux hydrocarbures : caoutchouc fluoré ou caoutchouc nitrile.</w:t>
            </w:r>
            <w:r>
              <w:rPr>
                <w:sz w:val="20"/>
                <w:szCs w:val="20"/>
              </w:rPr>
              <w:t xml:space="preserve">• Pour un contact prolongé, porter des gants conformes aux normes EN 420 et EN 374.</w:t>
            </w:r>
            <w:r>
              <w:rPr>
                <w:sz w:val="20"/>
                <w:szCs w:val="20"/>
              </w:rPr>
              <w:t xml:space="preserve">• Durée de protection indiquée : 480 minutes.</w:t>
            </w:r>
            <w:r>
              <w:rPr>
                <w:sz w:val="20"/>
                <w:szCs w:val="20"/>
              </w:rPr>
              <w:t xml:space="preserve">• Épaisseur minimale : 0,38 mm. Ces valeurs sont indicatives et servent de référence pour la sélection du matériau et de l’épaisseur.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sécurité avec protections latérales. Utilisées lorsqu’il y a risque d’éclaboussures.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Aucun masque n’est requis dans les conditions normales d’utilisation.</w:t>
            </w:r>
            <w:r>
              <w:rPr>
                <w:sz w:val="20"/>
                <w:szCs w:val="20"/>
              </w:rPr>
              <w:t xml:space="preserve">• En cas de concentrations supérieures aux limites d’exposition, il faut porter un appareil respiratoire avec filtre combiné vapeurs/particules (norme EN 14387).</w:t>
            </w:r>
            <w:r>
              <w:rPr>
                <w:sz w:val="20"/>
                <w:szCs w:val="20"/>
              </w:rPr>
              <w:t xml:space="preserve">• Type A / P1. L’usage doit respecter strictement les instructions du fabricant et les réglementations applicables.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• Vêtements de protection appropriés (manches longues).</w:t>
            </w:r>
            <w:r>
              <w:rPr>
                <w:sz w:val="20"/>
                <w:szCs w:val="20"/>
              </w:rPr>
              <w:t xml:space="preserve">• Chaussures ou bottes de sécurité. À porter pour éviter tout contact avec la peau, les yeux et les vêtements.</w:t>
            </w:r>
          </w:p>
        </w:tc>
      </w:tr>
    </w:tbl>
    <w:bookmarkEnd w:id="39"/>
    <w:bookmarkStart w:id="4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manger, boire ou fumer pendant l’utilisation. - Porter un équipement de protection individuelle (voir rubrique 8). - Utiliser uniquement dans des zones bien ventilées. - Ne pas respirer les vapeurs ou le brouillard de pulvérisation. - Éviter le contact avec la peau, les yeux et les vêtements. - Éviter l’accumulation de charges électrostatiques. - Mettre à la terre et établir une liaison équipotentielle entre les conteneurs, les réservoirs ainsi que les équipements de transfert/réception. - Nettoyer régulièrement l’équipement, la zone de travail et les vêtements. - Se laver les mains avant les pauses et immédiatement après manipulation du produit. - Ne pas utiliser de produit abrasif, de solvant ou de carburant. - Ne pas s’essuyer les mains avec des chiffons qui ont servi au nettoyage. - Ne pas placer les chiffons imbibés de produit dans les poches des vêtements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pour un stockage sûr : - Conserver à l’écart des aliments et boissons, y compris ceux pour animaux. - Stocker dans un bac de rétention. - Maintenir le récipient fermé de manière étanche. - Conserver de préférence dans l’emballage d’origine ; si l’emballage est changé, reporter toutes les indications de l’étiquette réglementaire sur le nouvel emballage. - Ne pas retirer les étiquettes de danger des récipients (mêmes vides). - Concevoir les installations pour éviter les projections accidentelles de produit (ex. rupture de joint) sur des carters chauds et des contacts électriques. - Protéger du gel, de la chaleur et du soleil. - Protéger de l’humidité. Incompatibilités à éviter : -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Graisse lubrifiante</w:t>
            </w:r>
          </w:p>
        </w:tc>
      </w:tr>
    </w:tbl>
    <w:bookmarkEnd w:id="40"/>
    <w:bookmarkEnd w:id="4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2026-04-01T15:27:38Z</dcterms:created>
  <dcterms:modified xsi:type="dcterms:W3CDTF">2026-04-01T15:27:38Z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