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certified-degrippant-freeplusbwok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NCH Belgium Inc.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certified-degrippant-freeplusbwok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9" w:name="X5c33cdb43579440662998959fc34a240299ec62"/>
    <w:p>
      <w:pPr>
        <w:pStyle w:val="Heading1"/>
      </w:pPr>
      <w:r>
        <w:t xml:space="preserve">Analyse des dangers : certified-degrippant-freeplusbwok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certified-degrippant-freeplusbwok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NCH Belgium Inc.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Lubrifiant. Dégrippant.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2019-01-21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2019-01-21. Elle a donc 7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9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  <w:r>
        <w:t xml:space="preserve"> </w:t>
      </w:r>
      <w:r>
        <w:drawing>
          <wp:inline>
            <wp:extent cx="719999" cy="719999"/>
            <wp:effectExtent b="0" l="0" r="0" t="0"/>
            <wp:docPr descr="Grave pour la santé" title="" id="37" name="Picture"/>
            <a:graphic>
              <a:graphicData uri="http://schemas.openxmlformats.org/drawingml/2006/picture">
                <pic:pic>
                  <pic:nvPicPr>
                    <pic:cNvPr descr="templates/SGH08.png" id="38" name="Picture"/>
                    <pic:cNvPicPr>
                      <a:picLocks noChangeArrowheads="1"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Grave pour la santé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03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0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3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P301+P310</w:t>
      </w:r>
      <w:r>
        <w:t xml:space="preserve"> </w:t>
      </w:r>
      <w:r>
        <w:t xml:space="preserve">EN CAS D’INGESTION:</w:t>
      </w:r>
    </w:p>
    <w:p>
      <w:pPr>
        <w:numPr>
          <w:ilvl w:val="0"/>
          <w:numId w:val="1004"/>
        </w:numPr>
      </w:pPr>
      <w:r>
        <w:t xml:space="preserve">P331</w:t>
      </w:r>
      <w:r>
        <w:t xml:space="preserve"> </w:t>
      </w:r>
      <w:r>
        <w:t xml:space="preserve">NE PAS faire vomir.</w:t>
      </w:r>
    </w:p>
    <w:p>
      <w:pPr>
        <w:numPr>
          <w:ilvl w:val="0"/>
          <w:numId w:val="1004"/>
        </w:numPr>
      </w:pPr>
      <w:r>
        <w:t xml:space="preserve">P337+P313</w:t>
      </w:r>
      <w:r>
        <w:t xml:space="preserve"> </w:t>
      </w:r>
      <w:r>
        <w:t xml:space="preserve">Si l’irritation oculaire persiste: consulter un médecin.</w:t>
      </w:r>
    </w:p>
    <w:p>
      <w:pPr>
        <w:numPr>
          <w:ilvl w:val="0"/>
          <w:numId w:val="1004"/>
        </w:numPr>
      </w:pPr>
      <w:r>
        <w:t xml:space="preserve">P370+P378</w:t>
      </w:r>
      <w:r>
        <w:t xml:space="preserve"> </w:t>
      </w:r>
      <w:r>
        <w:t xml:space="preserve">En cas d’incendie: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Classe 3</w:t>
      </w:r>
    </w:p>
    <w:p>
      <w:pPr>
        <w:pStyle w:val="Compact"/>
        <w:numPr>
          <w:ilvl w:val="0"/>
          <w:numId w:val="1005"/>
        </w:numPr>
      </w:pPr>
      <w:r>
        <w:t xml:space="preserve">RID : Classe 3</w:t>
      </w:r>
    </w:p>
    <w:p>
      <w:pPr>
        <w:pStyle w:val="Compact"/>
        <w:numPr>
          <w:ilvl w:val="0"/>
          <w:numId w:val="1005"/>
        </w:numPr>
      </w:pPr>
      <w:r>
        <w:t xml:space="preserve">ADN : -</w:t>
      </w:r>
    </w:p>
    <w:p>
      <w:pPr>
        <w:pStyle w:val="Compact"/>
        <w:numPr>
          <w:ilvl w:val="0"/>
          <w:numId w:val="1005"/>
        </w:numPr>
      </w:pPr>
      <w:r>
        <w:t xml:space="preserve">IMDG : Classe 3</w:t>
      </w:r>
    </w:p>
    <w:p>
      <w:pPr>
        <w:pStyle w:val="Compact"/>
        <w:numPr>
          <w:ilvl w:val="0"/>
          <w:numId w:val="1005"/>
        </w:numPr>
      </w:pPr>
      <w:r>
        <w:t xml:space="preserve">IATA : Classe 3</w:t>
      </w:r>
    </w:p>
    <w:p>
      <w:pPr>
        <w:pStyle w:val="Compact"/>
        <w:numPr>
          <w:ilvl w:val="0"/>
          <w:numId w:val="1005"/>
        </w:numPr>
      </w:pPr>
      <w:r>
        <w:t xml:space="preserve">UN : UN1173</w:t>
      </w:r>
    </w:p>
    <w:bookmarkEnd w:id="39"/>
    <w:bookmarkStart w:id="40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immédiatement et abondamment avec de l’eau et du savon.</w:t>
      </w:r>
      <w:r>
        <w:t xml:space="preserve"> </w:t>
      </w:r>
      <w:r>
        <w:t xml:space="preserve">Enlever les vêtements contaminés et les chaussures.</w:t>
      </w:r>
      <w:r>
        <w:t xml:space="preserve"> </w:t>
      </w:r>
      <w:r>
        <w:t xml:space="preserve">En cas d’irritation persistante, faire appel à une assistance médicale.</w:t>
      </w:r>
    </w:p>
    <w:p>
      <w:pPr>
        <w:pStyle w:val="BodyText"/>
      </w:pPr>
      <w:r>
        <w:t xml:space="preserve">eyes : Rincer immédiatement avec beaucoup d’eau pendant au moins 15 minutes.</w:t>
      </w:r>
      <w:r>
        <w:t xml:space="preserve"> </w:t>
      </w:r>
      <w:r>
        <w:t xml:space="preserve">Faire immédiatement appel à une assistance médicale.</w:t>
      </w:r>
    </w:p>
    <w:p>
      <w:pPr>
        <w:pStyle w:val="BodyText"/>
      </w:pPr>
      <w:r>
        <w:t xml:space="preserve">ingestion : Se rincer la bouche à l’eau.</w:t>
      </w:r>
      <w:r>
        <w:t xml:space="preserve"> </w:t>
      </w:r>
      <w:r>
        <w:t xml:space="preserve">Ne pas faire vomir.</w:t>
      </w:r>
      <w:r>
        <w:t xml:space="preserve"> </w:t>
      </w:r>
      <w:r>
        <w:t xml:space="preserve">En cas d’ingestion, consulter un médecin et montrer l’étiquette.</w:t>
      </w:r>
    </w:p>
    <w:p>
      <w:pPr>
        <w:pStyle w:val="BodyText"/>
      </w:pPr>
      <w:r>
        <w:t xml:space="preserve">inhalation : Aller à l’air libre.</w:t>
      </w:r>
      <w:r>
        <w:t xml:space="preserve"> </w:t>
      </w:r>
      <w:r>
        <w:t xml:space="preserve">Si les troubles respiratoires persistent, consulter un médecin.</w:t>
      </w:r>
    </w:p>
    <w:p>
      <w:r>
        <w:br w:type="page"/>
      </w:r>
    </w:p>
    <w:bookmarkEnd w:id="40"/>
    <w:bookmarkStart w:id="56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2" w:name="X8925221b4801b8c24253879f4def65fd6505235"/>
    <w:p>
      <w:pPr>
        <w:pStyle w:val="Heading3"/>
      </w:pPr>
      <w:r>
        <w:t xml:space="preserve">HYDROCARBONS, C9-C11, ALKANES, ISOALKANES, CYCLICS, &lt;2% AROMATICS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None</w:t>
      </w:r>
    </w:p>
    <w:p>
      <w:pPr>
        <w:pStyle w:val="Compact"/>
        <w:numPr>
          <w:ilvl w:val="0"/>
          <w:numId w:val="1006"/>
        </w:numPr>
      </w:pPr>
      <w:r>
        <w:t xml:space="preserve">N° EINECS : 919-857-5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50.0 to 100.0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07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07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1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1"/>
    <w:bookmarkEnd w:id="42"/>
    <w:bookmarkStart w:id="44" w:name="sodium-petroleum-sulphonate"/>
    <w:p>
      <w:pPr>
        <w:pStyle w:val="Heading3"/>
      </w:pPr>
      <w:r>
        <w:t xml:space="preserve">SODIUM PETROLEUM SULPHONATE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68608-26-4</w:t>
      </w:r>
    </w:p>
    <w:p>
      <w:pPr>
        <w:pStyle w:val="Compact"/>
        <w:numPr>
          <w:ilvl w:val="0"/>
          <w:numId w:val="1008"/>
        </w:numPr>
      </w:pPr>
      <w:r>
        <w:t xml:space="preserve">N° EINECS : 271-781-5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20.0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9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3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3"/>
    <w:bookmarkEnd w:id="44"/>
    <w:bookmarkStart w:id="55" w:name="ethyl-acetate"/>
    <w:p>
      <w:pPr>
        <w:pStyle w:val="Heading3"/>
      </w:pPr>
      <w:r>
        <w:t xml:space="preserve">ETHYL ACETATE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0"/>
        </w:numPr>
      </w:pPr>
      <w:r>
        <w:t xml:space="preserve">N° CAS : 141-78-6</w:t>
      </w:r>
    </w:p>
    <w:p>
      <w:pPr>
        <w:pStyle w:val="Compact"/>
        <w:numPr>
          <w:ilvl w:val="0"/>
          <w:numId w:val="1010"/>
        </w:numPr>
      </w:pPr>
      <w:r>
        <w:t xml:space="preserve">N° EINECS : 205-500-4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1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11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11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200.0 - VLE-8h (mg/m³) : 734.0 - VLE-15min (ppm) : 400.0 - VLE-15min (mg/m³) : 1468.0</w:t>
            </w:r>
          </w:p>
        </w:tc>
      </w:tr>
    </w:tbl>
    <w:bookmarkStart w:id="54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5">
        <w:r>
          <w:rPr>
            <w:rStyle w:val="Hyperlink"/>
            <w:color w:val="0856A0"/>
            <w:u w:val="single"/>
          </w:rPr>
          <w:t xml:space="preserve">Fiche n°18 - Acétate d’éthyle</w:t>
        </w:r>
      </w:hyperlink>
    </w:p>
    <w:p>
      <w:pPr>
        <w:numPr>
          <w:ilvl w:val="0"/>
          <w:numId w:val="1012"/>
        </w:numPr>
      </w:pPr>
      <w:hyperlink r:id="rId46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2"/>
        </w:numPr>
      </w:pPr>
      <w:hyperlink r:id="rId47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2"/>
        </w:numPr>
      </w:pPr>
      <w:hyperlink r:id="rId48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2"/>
        </w:numPr>
      </w:pPr>
      <w:hyperlink r:id="rId49">
        <w:r>
          <w:rPr>
            <w:rStyle w:val="Hyperlink"/>
            <w:color w:val="0856A0"/>
            <w:u w:val="single"/>
          </w:rPr>
          <w:t xml:space="preserve">Incendie - Explosion</w:t>
        </w:r>
      </w:hyperlink>
    </w:p>
    <w:p>
      <w:pPr>
        <w:numPr>
          <w:ilvl w:val="0"/>
          <w:numId w:val="1012"/>
        </w:numPr>
      </w:pPr>
      <w:hyperlink r:id="rId50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2"/>
        </w:numPr>
      </w:pPr>
      <w:hyperlink r:id="rId51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2"/>
        </w:numPr>
      </w:pPr>
      <w:hyperlink r:id="rId52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2"/>
        </w:numPr>
      </w:pPr>
      <w:hyperlink r:id="rId53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4"/>
    <w:bookmarkEnd w:id="55"/>
    <w:bookmarkEnd w:id="56"/>
    <w:bookmarkStart w:id="57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résistants aux solvants (caoutchouc butyle), caoutchouc fluoré, alcool de polyvinyle. Conformité à la norme EN 374.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de sécurité avec protections latérales, approuvé selon EN 166.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résistants aux solvants (caoutchouc butyle), caoutchouc fluoré, alcool de polyvinyle. Conformité à la norme EN 374.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Équipement de protection respiratoire conforme à EN 14387 (vapeurs organiques), masque ou équipement conforme EN 14387 pour vapeurs organiques.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Aucune spécification fournie dans le texte.</w:t>
            </w:r>
          </w:p>
        </w:tc>
      </w:tr>
    </w:tbl>
    <w:bookmarkEnd w:id="57"/>
    <w:bookmarkStart w:id="58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Éviter de respirer les vapeurs ou le brouillard. - Ne pas manger, boire ou fumer en manipulant ce produit. - Tenir à l’abri des flammes nues, des surfaces chaudes et des sources d’inflammation. - Éviter l’accumulation de charges électrostatiques. - Ne jamais siphonner avec la bouche. - Assurer une ventilation adéquate. - Utiliser un confinement secondaire (planchers/surfaces étanches) pour contenir les déversements.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Conserver dans le conteneur original. - Garder les récipients bien fermés dans un endroit sec, frais et bien ventilé. - Tenir à l’écart de la chaleur et des sources d’ignition. - Stocker conformément à la réglementation locale. Incompatibilités : - Oxydants forts. - Agents réducteurs. - Acides forts. - Bases fortes.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Lubrifiant. Dégrippant.</w:t>
            </w:r>
          </w:p>
        </w:tc>
      </w:tr>
    </w:tbl>
    <w:bookmarkEnd w:id="58"/>
    <w:bookmarkEnd w:id="59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36" Type="http://schemas.openxmlformats.org/officeDocument/2006/relationships/image" Target="media/rId36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45" Type="http://schemas.openxmlformats.org/officeDocument/2006/relationships/hyperlink" Target="https://www.inrs.fr/publications/bdd/fichetox/fiche.html?refINRS=FICHETOX_18" TargetMode="External"/><Relationship Id="rId48" Type="http://schemas.openxmlformats.org/officeDocument/2006/relationships/hyperlink" Target="https://www.inrs.fr/publications/bdd/fichetox/fiche.html?refINRS=FICHETOX_18&amp;section=VLEPMesurage" TargetMode="External"/><Relationship Id="rId53" Type="http://schemas.openxmlformats.org/officeDocument/2006/relationships/hyperlink" Target="https://www.inrs.fr/publications/bdd/fichetox/fiche.html?refINRS=FICHETOX_18&amp;section=bibliographieAuteurs" TargetMode="External"/><Relationship Id="rId47" Type="http://schemas.openxmlformats.org/officeDocument/2006/relationships/hyperlink" Target="https://www.inrs.fr/publications/bdd/fichetox/fiche.html?refINRS=FICHETOX_18&amp;section=caracteristiques" TargetMode="External"/><Relationship Id="rId46" Type="http://schemas.openxmlformats.org/officeDocument/2006/relationships/hyperlink" Target="https://www.inrs.fr/publications/bdd/fichetox/fiche.html?refINRS=FICHETOX_18&amp;section=generalites" TargetMode="External"/><Relationship Id="rId49" Type="http://schemas.openxmlformats.org/officeDocument/2006/relationships/hyperlink" Target="https://www.inrs.fr/publications/bdd/fichetox/fiche.html?refINRS=FICHETOX_18&amp;section=incendieExplosion" TargetMode="External"/><Relationship Id="rId50" Type="http://schemas.openxmlformats.org/officeDocument/2006/relationships/hyperlink" Target="https://www.inrs.fr/publications/bdd/fichetox/fiche.html?refINRS=FICHETOX_18&amp;section=pathologieToxicologie" TargetMode="External"/><Relationship Id="rId52" Type="http://schemas.openxmlformats.org/officeDocument/2006/relationships/hyperlink" Target="https://www.inrs.fr/publications/bdd/fichetox/fiche.html?refINRS=FICHETOX_18&amp;section=recommandations" TargetMode="External"/><Relationship Id="rId51" Type="http://schemas.openxmlformats.org/officeDocument/2006/relationships/hyperlink" Target="https://www.inrs.fr/publications/bdd/fichetox/fiche.html?refINRS=FICHETOX_18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45" Type="http://schemas.openxmlformats.org/officeDocument/2006/relationships/hyperlink" Target="https://www.inrs.fr/publications/bdd/fichetox/fiche.html?refINRS=FICHETOX_18" TargetMode="External"/><Relationship Id="rId48" Type="http://schemas.openxmlformats.org/officeDocument/2006/relationships/hyperlink" Target="https://www.inrs.fr/publications/bdd/fichetox/fiche.html?refINRS=FICHETOX_18&amp;section=VLEPMesurage" TargetMode="External"/><Relationship Id="rId53" Type="http://schemas.openxmlformats.org/officeDocument/2006/relationships/hyperlink" Target="https://www.inrs.fr/publications/bdd/fichetox/fiche.html?refINRS=FICHETOX_18&amp;section=bibliographieAuteurs" TargetMode="External"/><Relationship Id="rId47" Type="http://schemas.openxmlformats.org/officeDocument/2006/relationships/hyperlink" Target="https://www.inrs.fr/publications/bdd/fichetox/fiche.html?refINRS=FICHETOX_18&amp;section=caracteristiques" TargetMode="External"/><Relationship Id="rId46" Type="http://schemas.openxmlformats.org/officeDocument/2006/relationships/hyperlink" Target="https://www.inrs.fr/publications/bdd/fichetox/fiche.html?refINRS=FICHETOX_18&amp;section=generalites" TargetMode="External"/><Relationship Id="rId49" Type="http://schemas.openxmlformats.org/officeDocument/2006/relationships/hyperlink" Target="https://www.inrs.fr/publications/bdd/fichetox/fiche.html?refINRS=FICHETOX_18&amp;section=incendieExplosion" TargetMode="External"/><Relationship Id="rId50" Type="http://schemas.openxmlformats.org/officeDocument/2006/relationships/hyperlink" Target="https://www.inrs.fr/publications/bdd/fichetox/fiche.html?refINRS=FICHETOX_18&amp;section=pathologieToxicologie" TargetMode="External"/><Relationship Id="rId52" Type="http://schemas.openxmlformats.org/officeDocument/2006/relationships/hyperlink" Target="https://www.inrs.fr/publications/bdd/fichetox/fiche.html?refINRS=FICHETOX_18&amp;section=recommandations" TargetMode="External"/><Relationship Id="rId51" Type="http://schemas.openxmlformats.org/officeDocument/2006/relationships/hyperlink" Target="https://www.inrs.fr/publications/bdd/fichetox/fiche.html?refINRS=FICHETOX_18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2026-04-01T15:31:09Z</dcterms:created>
  <dcterms:modified xsi:type="dcterms:W3CDTF">2026-04-01T15:31:09Z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