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certified-klawlobwok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certified-klawlobwok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3" w:name="analyse-des-dangers-certified-klawlobwok"/>
    <w:p>
      <w:pPr>
        <w:pStyle w:val="Heading1"/>
      </w:pPr>
      <w:r>
        <w:t xml:space="preserve">Analyse des dangers : certified-klawlobwok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certified-klawlobwok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clair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Dégraissant solvanté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2017-05-30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2017-05-30.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3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P301+P310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P331</w:t>
      </w:r>
      <w:r>
        <w:t xml:space="preserve"> </w:t>
      </w:r>
      <w:r>
        <w:t xml:space="preserve">NE PAS faire vomir.</w:t>
      </w:r>
    </w:p>
    <w:p>
      <w:pPr>
        <w:numPr>
          <w:ilvl w:val="0"/>
          <w:numId w:val="1004"/>
        </w:numPr>
      </w:pPr>
      <w:r>
        <w:t xml:space="preserve">P333+P313</w:t>
      </w:r>
      <w:r>
        <w:t xml:space="preserve"> </w:t>
      </w:r>
      <w:r>
        <w:t xml:space="preserve">En cas d’irritation ou d’éruption cutanée: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9</w:t>
      </w:r>
    </w:p>
    <w:p>
      <w:pPr>
        <w:pStyle w:val="Compact"/>
        <w:numPr>
          <w:ilvl w:val="0"/>
          <w:numId w:val="1005"/>
        </w:numPr>
      </w:pPr>
      <w:r>
        <w:t xml:space="preserve">RID : 9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9</w:t>
      </w:r>
    </w:p>
    <w:p>
      <w:pPr>
        <w:pStyle w:val="Compact"/>
        <w:numPr>
          <w:ilvl w:val="0"/>
          <w:numId w:val="1005"/>
        </w:numPr>
      </w:pPr>
      <w:r>
        <w:t xml:space="preserve">IATA : 9</w:t>
      </w:r>
    </w:p>
    <w:p>
      <w:pPr>
        <w:pStyle w:val="Compact"/>
        <w:numPr>
          <w:ilvl w:val="0"/>
          <w:numId w:val="1005"/>
        </w:numPr>
      </w:pPr>
      <w:r>
        <w:t xml:space="preserve">UN : UN3082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et abondamment avec de l’eau et du savon.</w:t>
      </w:r>
      <w:r>
        <w:t xml:space="preserve"> </w:t>
      </w:r>
      <w:r>
        <w:t xml:space="preserve">Enlever les vêtements contaminés et les chaussures.</w:t>
      </w:r>
      <w:r>
        <w:t xml:space="preserve"> </w:t>
      </w:r>
      <w:r>
        <w:t xml:space="preserve">Faire appel à une assistance médicale si une irritation persiste.</w:t>
      </w:r>
    </w:p>
    <w:p>
      <w:pPr>
        <w:pStyle w:val="BodyText"/>
      </w:pPr>
      <w:r>
        <w:t xml:space="preserve">eyes : Rincer immédiatement avec beaucoup d’eau pendant au moins 15 minutes.</w:t>
      </w:r>
      <w:r>
        <w:t xml:space="preserve"> </w:t>
      </w:r>
      <w:r>
        <w:t xml:space="preserve">Faire appel à une assistance médicale en cas d’irritation persistante.</w:t>
      </w:r>
    </w:p>
    <w:p>
      <w:pPr>
        <w:pStyle w:val="BodyText"/>
      </w:pPr>
      <w:r>
        <w:t xml:space="preserve">ingestion : Se rincer la bouche à l’eau.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Faire immédiatement appel à une assistance médicale.</w:t>
      </w:r>
    </w:p>
    <w:p>
      <w:pPr>
        <w:pStyle w:val="BodyText"/>
      </w:pPr>
      <w:r>
        <w:t xml:space="preserve">inhalation : Retirer la personne de la zone contaminée et l’amener à l’air frais.</w:t>
      </w:r>
      <w:r>
        <w:t xml:space="preserve"> </w:t>
      </w:r>
      <w:r>
        <w:t xml:space="preserve">Consulter un médecin si une irritation ou une difficulté à respirer apparaît.</w:t>
      </w:r>
      <w:r>
        <w:t xml:space="preserve"> </w:t>
      </w:r>
      <w:r>
        <w:t xml:space="preserve">En cas d’exposition à de fortes concentrations de vapeur ou brouillard, aller à l’air libre.</w:t>
      </w:r>
    </w:p>
    <w:p>
      <w:r>
        <w:br w:type="page"/>
      </w:r>
    </w:p>
    <w:bookmarkEnd w:id="40"/>
    <w:bookmarkStart w:id="6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hydrocarbons-c12-c15-alkanes"/>
    <w:p>
      <w:pPr>
        <w:pStyle w:val="Heading3"/>
      </w:pPr>
      <w:r>
        <w:t xml:space="preserve">Hydrocarbons, C12-C15, Alkanes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64742-47-8</w:t>
      </w:r>
    </w:p>
    <w:p>
      <w:pPr>
        <w:pStyle w:val="Compact"/>
        <w:numPr>
          <w:ilvl w:val="0"/>
          <w:numId w:val="1006"/>
        </w:numPr>
      </w:pPr>
      <w:r>
        <w:t xml:space="preserve">N° EINECS : 265-149-8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53" w:name="dipropylene-glycol-methyl-ether"/>
    <w:p>
      <w:pPr>
        <w:pStyle w:val="Heading3"/>
      </w:pPr>
      <w:r>
        <w:t xml:space="preserve">Dipropylene glycol methyl ether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34590-94-8</w:t>
      </w:r>
    </w:p>
    <w:p>
      <w:pPr>
        <w:pStyle w:val="Compact"/>
        <w:numPr>
          <w:ilvl w:val="0"/>
          <w:numId w:val="1008"/>
        </w:numPr>
      </w:pPr>
      <w:r>
        <w:t xml:space="preserve">N° EINECS : 252-104-2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None</w:t>
            </w:r>
          </w:p>
        </w:tc>
      </w:tr>
    </w:tbl>
    <w:bookmarkStart w:id="52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3">
        <w:r>
          <w:rPr>
            <w:rStyle w:val="Hyperlink"/>
            <w:color w:val="0856A0"/>
            <w:u w:val="single"/>
          </w:rPr>
          <w:t xml:space="preserve">Fiche n°330 - (2-Méthoxyméthyléthoxy)propanol</w:t>
        </w:r>
      </w:hyperlink>
    </w:p>
    <w:p>
      <w:pPr>
        <w:numPr>
          <w:ilvl w:val="0"/>
          <w:numId w:val="1009"/>
        </w:numPr>
      </w:pPr>
      <w:hyperlink r:id="rId4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7">
        <w:r>
          <w:rPr>
            <w:rStyle w:val="Hyperlink"/>
            <w:color w:val="0856A0"/>
            <w:u w:val="single"/>
          </w:rPr>
          <w:t xml:space="preserve">Incendie - Explosion[3, 10-12]</w:t>
        </w:r>
      </w:hyperlink>
    </w:p>
    <w:p>
      <w:pPr>
        <w:numPr>
          <w:ilvl w:val="0"/>
          <w:numId w:val="1009"/>
        </w:numPr>
      </w:pPr>
      <w:hyperlink r:id="rId4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5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5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2"/>
    <w:bookmarkEnd w:id="53"/>
    <w:bookmarkStart w:id="55" w:name="citrus-terpenes"/>
    <w:p>
      <w:pPr>
        <w:pStyle w:val="Heading3"/>
      </w:pPr>
      <w:r>
        <w:t xml:space="preserve">Citrus terpenes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8028-48-6</w:t>
      </w:r>
    </w:p>
    <w:p>
      <w:pPr>
        <w:pStyle w:val="Compact"/>
        <w:numPr>
          <w:ilvl w:val="0"/>
          <w:numId w:val="1010"/>
        </w:numPr>
      </w:pPr>
      <w:r>
        <w:t xml:space="preserve">N° EINECS : 232-433-8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1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1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1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1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4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4"/>
    <w:bookmarkEnd w:id="55"/>
    <w:bookmarkStart w:id="57" w:name="c12-c13-primary-alcohol-blend"/>
    <w:p>
      <w:pPr>
        <w:pStyle w:val="Heading3"/>
      </w:pPr>
      <w:r>
        <w:t xml:space="preserve">C12-C13 primary alcohol blend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67762-41-8</w:t>
      </w:r>
    </w:p>
    <w:p>
      <w:pPr>
        <w:pStyle w:val="Compact"/>
        <w:numPr>
          <w:ilvl w:val="0"/>
          <w:numId w:val="1012"/>
        </w:numPr>
      </w:pPr>
      <w:r>
        <w:t xml:space="preserve">N° EINECS : 267-019-6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3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6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6"/>
    <w:bookmarkEnd w:id="57"/>
    <w:bookmarkStart w:id="59" w:name="alcohols-c12-c15-ethoxylated"/>
    <w:p>
      <w:pPr>
        <w:pStyle w:val="Heading3"/>
      </w:pPr>
      <w:r>
        <w:t xml:space="preserve">Alcohols, C12-C15, ethoxylated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68131-39-5</w:t>
      </w:r>
    </w:p>
    <w:p>
      <w:pPr>
        <w:pStyle w:val="Compact"/>
        <w:numPr>
          <w:ilvl w:val="0"/>
          <w:numId w:val="1014"/>
        </w:numPr>
      </w:pPr>
      <w:r>
        <w:t xml:space="preserve">N° EINECS : 500-195-7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5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5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8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8"/>
    <w:bookmarkEnd w:id="59"/>
    <w:bookmarkEnd w:id="60"/>
    <w:bookmarkStart w:id="6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Gants résistants aux solvants (caoutchouc butyle). • Gants en caoutchouc fluoré. • Gants en alcool de polyvinyle.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• Lunettes avec protections latérales. Approuvées selon la norme EN 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Gants résistants aux solvants (caoutchouc butyle). • Gants en caoutchouc fluoré. • Gants en alcool de polyvinyle. Norme: EN 374. Niveau de performance: 6. Temps de passage minimal de la matière constitutive du gant: &gt; 480 min.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 respiratoire / protection respiratoire • Protection respiratoire individuelle conforme à la norme EN 141 (vapeurs organiques).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 • Combinaison de protection appropriée.</w:t>
            </w:r>
          </w:p>
        </w:tc>
      </w:tr>
    </w:tbl>
    <w:bookmarkEnd w:id="61"/>
    <w:bookmarkStart w:id="6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Éviter le contact avec la peau, les yeux et les vêtements. - Éviter de respirer les vapeurs ou le brouillard. - Ne pas manger, boire ou fumer en manipulant ce produit. - Assurer une ventilation adéquate. Toute personne ayant des antécédents de sensibilisation cutanée à l’une des substances de ce produit, devrait s’abstenir de le manipuler.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le conteneur original. Garder les récipients bien fermés dans un endroit sec, frais et bien ventilé.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Dégraissant solvanté</w:t>
            </w:r>
          </w:p>
        </w:tc>
      </w:tr>
    </w:tbl>
    <w:bookmarkEnd w:id="62"/>
    <w:bookmarkEnd w:id="6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3" Type="http://schemas.openxmlformats.org/officeDocument/2006/relationships/hyperlink" Target="https://www.inrs.fr/publications/bdd/fichetox/fiche.html?refINRS=FICHETOX_330" TargetMode="External"/><Relationship Id="rId46" Type="http://schemas.openxmlformats.org/officeDocument/2006/relationships/hyperlink" Target="https://www.inrs.fr/publications/bdd/fichetox/fiche.html?refINRS=FICHETOX_330&amp;section=VLEPMesurage" TargetMode="External"/><Relationship Id="rId51" Type="http://schemas.openxmlformats.org/officeDocument/2006/relationships/hyperlink" Target="https://www.inrs.fr/publications/bdd/fichetox/fiche.html?refINRS=FICHETOX_330&amp;section=bibliographieAuteurs" TargetMode="External"/><Relationship Id="rId45" Type="http://schemas.openxmlformats.org/officeDocument/2006/relationships/hyperlink" Target="https://www.inrs.fr/publications/bdd/fichetox/fiche.html?refINRS=FICHETOX_330&amp;section=caracteristiques" TargetMode="External"/><Relationship Id="rId44" Type="http://schemas.openxmlformats.org/officeDocument/2006/relationships/hyperlink" Target="https://www.inrs.fr/publications/bdd/fichetox/fiche.html?refINRS=FICHETOX_330&amp;section=generalites" TargetMode="External"/><Relationship Id="rId47" Type="http://schemas.openxmlformats.org/officeDocument/2006/relationships/hyperlink" Target="https://www.inrs.fr/publications/bdd/fichetox/fiche.html?refINRS=FICHETOX_330&amp;section=incendieExplosion" TargetMode="External"/><Relationship Id="rId48" Type="http://schemas.openxmlformats.org/officeDocument/2006/relationships/hyperlink" Target="https://www.inrs.fr/publications/bdd/fichetox/fiche.html?refINRS=FICHETOX_330&amp;section=pathologieToxicologie" TargetMode="External"/><Relationship Id="rId50" Type="http://schemas.openxmlformats.org/officeDocument/2006/relationships/hyperlink" Target="https://www.inrs.fr/publications/bdd/fichetox/fiche.html?refINRS=FICHETOX_330&amp;section=recommandations" TargetMode="External"/><Relationship Id="rId49" Type="http://schemas.openxmlformats.org/officeDocument/2006/relationships/hyperlink" Target="https://www.inrs.fr/publications/bdd/fichetox/fiche.html?refINRS=FICHETOX_33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3" Type="http://schemas.openxmlformats.org/officeDocument/2006/relationships/hyperlink" Target="https://www.inrs.fr/publications/bdd/fichetox/fiche.html?refINRS=FICHETOX_330" TargetMode="External"/><Relationship Id="rId46" Type="http://schemas.openxmlformats.org/officeDocument/2006/relationships/hyperlink" Target="https://www.inrs.fr/publications/bdd/fichetox/fiche.html?refINRS=FICHETOX_330&amp;section=VLEPMesurage" TargetMode="External"/><Relationship Id="rId51" Type="http://schemas.openxmlformats.org/officeDocument/2006/relationships/hyperlink" Target="https://www.inrs.fr/publications/bdd/fichetox/fiche.html?refINRS=FICHETOX_330&amp;section=bibliographieAuteurs" TargetMode="External"/><Relationship Id="rId45" Type="http://schemas.openxmlformats.org/officeDocument/2006/relationships/hyperlink" Target="https://www.inrs.fr/publications/bdd/fichetox/fiche.html?refINRS=FICHETOX_330&amp;section=caracteristiques" TargetMode="External"/><Relationship Id="rId44" Type="http://schemas.openxmlformats.org/officeDocument/2006/relationships/hyperlink" Target="https://www.inrs.fr/publications/bdd/fichetox/fiche.html?refINRS=FICHETOX_330&amp;section=generalites" TargetMode="External"/><Relationship Id="rId47" Type="http://schemas.openxmlformats.org/officeDocument/2006/relationships/hyperlink" Target="https://www.inrs.fr/publications/bdd/fichetox/fiche.html?refINRS=FICHETOX_330&amp;section=incendieExplosion" TargetMode="External"/><Relationship Id="rId48" Type="http://schemas.openxmlformats.org/officeDocument/2006/relationships/hyperlink" Target="https://www.inrs.fr/publications/bdd/fichetox/fiche.html?refINRS=FICHETOX_330&amp;section=pathologieToxicologie" TargetMode="External"/><Relationship Id="rId50" Type="http://schemas.openxmlformats.org/officeDocument/2006/relationships/hyperlink" Target="https://www.inrs.fr/publications/bdd/fichetox/fiche.html?refINRS=FICHETOX_330&amp;section=recommandations" TargetMode="External"/><Relationship Id="rId49" Type="http://schemas.openxmlformats.org/officeDocument/2006/relationships/hyperlink" Target="https://www.inrs.fr/publications/bdd/fichetox/fiche.html?refINRS=FICHETOX_33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2026-04-01T15:36:28Z</dcterms:created>
  <dcterms:modified xsi:type="dcterms:W3CDTF">2026-04-01T15:36:28Z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