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certified-nowaerosoltubok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certified-nowaerosoltubok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0" w:name="X719210e626a2208672b7adc6243c77897dfec60"/>
    <w:p>
      <w:pPr>
        <w:pStyle w:val="Heading1"/>
      </w:pPr>
      <w:r>
        <w:t xml:space="preserve">Analyse des dangers : certified-nowaerosoltubok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certified-nowaerosoltubok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certified-nowaerosoltubok devrait être classée H314 selon les dernières classifications harmonisées publiées par l’ECHA.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P337</w:t>
      </w:r>
      <w:r>
        <w:t xml:space="preserve"> </w:t>
      </w:r>
      <w:r>
        <w:t xml:space="preserve">Si l’irritation oculaire persiste: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2.2</w:t>
      </w:r>
    </w:p>
    <w:p>
      <w:pPr>
        <w:pStyle w:val="Compact"/>
        <w:numPr>
          <w:ilvl w:val="0"/>
          <w:numId w:val="1006"/>
        </w:numPr>
      </w:pPr>
      <w:r>
        <w:t xml:space="preserve">RID : 2.2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2.2</w:t>
      </w:r>
    </w:p>
    <w:p>
      <w:pPr>
        <w:pStyle w:val="Compact"/>
        <w:numPr>
          <w:ilvl w:val="0"/>
          <w:numId w:val="1006"/>
        </w:numPr>
      </w:pPr>
      <w:r>
        <w:t xml:space="preserve">IATA : 2.2</w:t>
      </w:r>
    </w:p>
    <w:p>
      <w:pPr>
        <w:pStyle w:val="Compact"/>
        <w:numPr>
          <w:ilvl w:val="0"/>
          <w:numId w:val="1006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Consulter un médecin si une irritation persiste.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Consulter un médecin si une irritation persiste.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immédiatement un médecin et lui montrer l’emballage ou l’étiquette.</w:t>
      </w:r>
    </w:p>
    <w:p>
      <w:pPr>
        <w:pStyle w:val="BodyText"/>
      </w:pPr>
      <w:r>
        <w:t xml:space="preserve">inhalation : Aller immédiatement à l’air libre.</w:t>
      </w:r>
      <w:r>
        <w:t xml:space="preserve"> </w:t>
      </w:r>
      <w:r>
        <w:t xml:space="preserve">Consulter un médecin si une irritation ou une difficulté à respirer apparaît.</w:t>
      </w:r>
    </w:p>
    <w:p>
      <w:r>
        <w:br w:type="page"/>
      </w:r>
    </w:p>
    <w:bookmarkEnd w:id="37"/>
    <w:bookmarkStart w:id="5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75-28-5</w:t>
      </w:r>
    </w:p>
    <w:p>
      <w:pPr>
        <w:pStyle w:val="Compact"/>
        <w:numPr>
          <w:ilvl w:val="0"/>
          <w:numId w:val="1007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monopropylene-glycol-methyl-ether"/>
    <w:p>
      <w:pPr>
        <w:pStyle w:val="Heading3"/>
      </w:pPr>
      <w:r>
        <w:t xml:space="preserve">MONOPROPYLENE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107-98-2</w:t>
      </w:r>
    </w:p>
    <w:p>
      <w:pPr>
        <w:pStyle w:val="Compact"/>
        <w:numPr>
          <w:ilvl w:val="0"/>
          <w:numId w:val="1009"/>
        </w:numPr>
      </w:pPr>
      <w:r>
        <w:t xml:space="preserve">N° EINECS : 203-539-1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184.0 - VLE-15min (ppm) : 100.0 - VLE-15min (mg/m³) : 369.0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Start w:id="5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74-98-6</w:t>
      </w:r>
    </w:p>
    <w:p>
      <w:pPr>
        <w:pStyle w:val="Compact"/>
        <w:numPr>
          <w:ilvl w:val="0"/>
          <w:numId w:val="1012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54" w:name="alkyldimethylbenzylammonium-chloride"/>
    <w:p>
      <w:pPr>
        <w:pStyle w:val="Heading3"/>
      </w:pPr>
      <w:r>
        <w:t xml:space="preserve">ALKYLDIMETHYLBENZYLAMMONIUM 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68391-01-5</w:t>
      </w:r>
    </w:p>
    <w:p>
      <w:pPr>
        <w:pStyle w:val="Compact"/>
        <w:numPr>
          <w:ilvl w:val="0"/>
          <w:numId w:val="1014"/>
        </w:numPr>
      </w:pPr>
      <w:r>
        <w:t xml:space="preserve">N° EINECS : 269-919-4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5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Start w:id="56" w:name="Xcbf1ab77d7205774bbcb34e5de39e3b31c030f7"/>
    <w:p>
      <w:pPr>
        <w:pStyle w:val="Heading3"/>
      </w:pPr>
      <w:r>
        <w:t xml:space="preserve">ALKYL DIMETHYL ETHYLBENZYL AMMONIUM 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85409-23-0</w:t>
      </w:r>
    </w:p>
    <w:p>
      <w:pPr>
        <w:pStyle w:val="Compact"/>
        <w:numPr>
          <w:ilvl w:val="0"/>
          <w:numId w:val="1016"/>
        </w:numPr>
      </w:pPr>
      <w:r>
        <w:t xml:space="preserve">N° EINECS : 287-090-7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5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5"/>
    <w:bookmarkEnd w:id="56"/>
    <w:bookmarkEnd w:id="57"/>
    <w:bookmarkStart w:id="5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conformes à la norme EN 374. Types suggérés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d’épaisseur 0.4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PVC d’épaisseur 0.7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Néoprène d’épaisseur 0.4 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à porter si la méthode d’utilisation peut entraîner un contact oculaire. Doivent être approuvées selon la norme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masques appropriés et agréés lorsque les concentrations de vapeurs ou de brouillards dépassent les limites d’exposition. Les masques doivent être conformes à la norme EN 14387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8"/>
    <w:bookmarkStart w:id="5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le contact avec la peau, les yeux et les vêtements. Éviter de respirer les vapeurs ou le brouillard. Ne pas manger, boire ou fumer en manipulant ce produit. Tenir à l’abri des flammes nues, des surfaces chaudes et des sources d’inflammation.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sûr: - Les bidons doivent être entreposés séparément, dans des enceintes fermées. - Le récipient est sous pression. - Le produit doit être protégé contre les rayons solaires et ne doit pas être exposé à une température supérieure à 50 °C. - Il faut tenir le produit à l’abri des flammes nues, des surfaces chaudes et des sources d’inflammation.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</w:t>
            </w:r>
          </w:p>
        </w:tc>
      </w:tr>
    </w:tbl>
    <w:bookmarkEnd w:id="59"/>
    <w:bookmarkEnd w:id="6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0" Type="http://schemas.openxmlformats.org/officeDocument/2006/relationships/hyperlink" Target="https://www.inrs.fr/publications/bdd/fichetox/fiche.html?refINRS=FICHETOX_221" TargetMode="External"/><Relationship Id="rId43" Type="http://schemas.openxmlformats.org/officeDocument/2006/relationships/hyperlink" Target="https://www.inrs.fr/publications/bdd/fichetox/fiche.html?refINRS=FICHETOX_221&amp;section=VLEPMesurage" TargetMode="External"/><Relationship Id="rId48" Type="http://schemas.openxmlformats.org/officeDocument/2006/relationships/hyperlink" Target="https://www.inrs.fr/publications/bdd/fichetox/fiche.html?refINRS=FICHETOX_221&amp;section=bibliographieAuteurs" TargetMode="External"/><Relationship Id="rId42" Type="http://schemas.openxmlformats.org/officeDocument/2006/relationships/hyperlink" Target="https://www.inrs.fr/publications/bdd/fichetox/fiche.html?refINRS=FICHETOX_221&amp;section=caracteristiques" TargetMode="External"/><Relationship Id="rId41" Type="http://schemas.openxmlformats.org/officeDocument/2006/relationships/hyperlink" Target="https://www.inrs.fr/publications/bdd/fichetox/fiche.html?refINRS=FICHETOX_221&amp;section=generalites" TargetMode="External"/><Relationship Id="rId44" Type="http://schemas.openxmlformats.org/officeDocument/2006/relationships/hyperlink" Target="https://www.inrs.fr/publications/bdd/fichetox/fiche.html?refINRS=FICHETOX_221&amp;section=incendieExplosion" TargetMode="External"/><Relationship Id="rId45" Type="http://schemas.openxmlformats.org/officeDocument/2006/relationships/hyperlink" Target="https://www.inrs.fr/publications/bdd/fichetox/fiche.html?refINRS=FICHETOX_221&amp;section=pathologieToxicologie" TargetMode="External"/><Relationship Id="rId47" Type="http://schemas.openxmlformats.org/officeDocument/2006/relationships/hyperlink" Target="https://www.inrs.fr/publications/bdd/fichetox/fiche.html?refINRS=FICHETOX_221&amp;section=recommandations" TargetMode="External"/><Relationship Id="rId46" Type="http://schemas.openxmlformats.org/officeDocument/2006/relationships/hyperlink" Target="https://www.inrs.fr/publications/bdd/fichetox/fiche.html?refINRS=FICHETOX_221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0" Type="http://schemas.openxmlformats.org/officeDocument/2006/relationships/hyperlink" Target="https://www.inrs.fr/publications/bdd/fichetox/fiche.html?refINRS=FICHETOX_221" TargetMode="External"/><Relationship Id="rId43" Type="http://schemas.openxmlformats.org/officeDocument/2006/relationships/hyperlink" Target="https://www.inrs.fr/publications/bdd/fichetox/fiche.html?refINRS=FICHETOX_221&amp;section=VLEPMesurage" TargetMode="External"/><Relationship Id="rId48" Type="http://schemas.openxmlformats.org/officeDocument/2006/relationships/hyperlink" Target="https://www.inrs.fr/publications/bdd/fichetox/fiche.html?refINRS=FICHETOX_221&amp;section=bibliographieAuteurs" TargetMode="External"/><Relationship Id="rId42" Type="http://schemas.openxmlformats.org/officeDocument/2006/relationships/hyperlink" Target="https://www.inrs.fr/publications/bdd/fichetox/fiche.html?refINRS=FICHETOX_221&amp;section=caracteristiques" TargetMode="External"/><Relationship Id="rId41" Type="http://schemas.openxmlformats.org/officeDocument/2006/relationships/hyperlink" Target="https://www.inrs.fr/publications/bdd/fichetox/fiche.html?refINRS=FICHETOX_221&amp;section=generalites" TargetMode="External"/><Relationship Id="rId44" Type="http://schemas.openxmlformats.org/officeDocument/2006/relationships/hyperlink" Target="https://www.inrs.fr/publications/bdd/fichetox/fiche.html?refINRS=FICHETOX_221&amp;section=incendieExplosion" TargetMode="External"/><Relationship Id="rId45" Type="http://schemas.openxmlformats.org/officeDocument/2006/relationships/hyperlink" Target="https://www.inrs.fr/publications/bdd/fichetox/fiche.html?refINRS=FICHETOX_221&amp;section=pathologieToxicologie" TargetMode="External"/><Relationship Id="rId47" Type="http://schemas.openxmlformats.org/officeDocument/2006/relationships/hyperlink" Target="https://www.inrs.fr/publications/bdd/fichetox/fiche.html?refINRS=FICHETOX_221&amp;section=recommandations" TargetMode="External"/><Relationship Id="rId46" Type="http://schemas.openxmlformats.org/officeDocument/2006/relationships/hyperlink" Target="https://www.inrs.fr/publications/bdd/fichetox/fiche.html?refINRS=FICHETOX_221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2026-04-01T15:43:29Z</dcterms:created>
  <dcterms:modified xsi:type="dcterms:W3CDTF">2026-04-01T15:43:29Z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