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certified-np1aerosolgrez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NCH Belgium Inc.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certified-np1aerosolgrez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8" w:name="X0972502682c1d914700eb9bd0eda37a408d4041"/>
    <w:p>
      <w:pPr>
        <w:pStyle w:val="Heading1"/>
      </w:pPr>
      <w:r>
        <w:t xml:space="preserve">Analyse des dangers : certified-np1aerosolgrez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certified-np1aerosolgrez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NCH Belgium Inc.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 visqueux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Lubrifiant et Protecteur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2019-01-21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2019-01-21. Elle a donc 7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H222</w:t>
      </w:r>
      <w:r>
        <w:t xml:space="preserve"> </w:t>
      </w:r>
      <w:r>
        <w:t xml:space="preserve">Aérosol extrêmement inflammable.</w:t>
      </w:r>
    </w:p>
    <w:p>
      <w:pPr>
        <w:numPr>
          <w:ilvl w:val="0"/>
          <w:numId w:val="1003"/>
        </w:numPr>
      </w:pPr>
      <w:r>
        <w:t xml:space="preserve">H229</w:t>
      </w:r>
      <w:r>
        <w:t xml:space="preserve"> </w:t>
      </w:r>
      <w:r>
        <w:t xml:space="preserve">Pressurised container: May burst if heated</w:t>
      </w:r>
    </w:p>
    <w:p>
      <w:pPr>
        <w:numPr>
          <w:ilvl w:val="0"/>
          <w:numId w:val="1003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3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03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numPr>
          <w:ilvl w:val="0"/>
          <w:numId w:val="1003"/>
        </w:numPr>
      </w:pPr>
      <w:r>
        <w:t xml:space="preserve">EUH066</w:t>
      </w:r>
      <w:r>
        <w:t xml:space="preserve"> </w:t>
      </w:r>
      <w:r>
        <w:t xml:space="preserve">L’exposition répétée peut provoquer dessèchement ou gerçures de la peau.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4"/>
        </w:numPr>
      </w:pPr>
      <w:r>
        <w:t xml:space="preserve">P211</w:t>
      </w:r>
      <w:r>
        <w:t xml:space="preserve"> </w:t>
      </w:r>
      <w:r>
        <w:t xml:space="preserve">Ne pas vaporiser sur une flamme nue ou sur toute autre source d’ignition.</w:t>
      </w:r>
    </w:p>
    <w:p>
      <w:pPr>
        <w:numPr>
          <w:ilvl w:val="0"/>
          <w:numId w:val="1004"/>
        </w:numPr>
      </w:pPr>
      <w:r>
        <w:t xml:space="preserve">P251</w:t>
      </w:r>
      <w:r>
        <w:t xml:space="preserve"> </w:t>
      </w:r>
      <w:r>
        <w:t xml:space="preserve">P251</w:t>
      </w:r>
    </w:p>
    <w:p>
      <w:pPr>
        <w:numPr>
          <w:ilvl w:val="0"/>
          <w:numId w:val="1004"/>
        </w:numPr>
      </w:pPr>
      <w:r>
        <w:t xml:space="preserve">P260</w:t>
      </w:r>
      <w:r>
        <w:t xml:space="preserve"> </w:t>
      </w:r>
      <w:r>
        <w:t xml:space="preserve">Ne pas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P271</w:t>
      </w:r>
      <w:r>
        <w:t xml:space="preserve"> </w:t>
      </w:r>
      <w:r>
        <w:t xml:space="preserve">Utiliser seulement en plein air ou dans un endroit bien ventilé.</w:t>
      </w:r>
    </w:p>
    <w:p>
      <w:pPr>
        <w:numPr>
          <w:ilvl w:val="0"/>
          <w:numId w:val="1004"/>
        </w:numPr>
      </w:pPr>
      <w:r>
        <w:t xml:space="preserve">P273</w:t>
      </w:r>
      <w:r>
        <w:t xml:space="preserve"> </w:t>
      </w:r>
      <w:r>
        <w:t xml:space="preserve">Éviter le rejet dans l’environnement.</w:t>
      </w:r>
    </w:p>
    <w:p>
      <w:pPr>
        <w:numPr>
          <w:ilvl w:val="0"/>
          <w:numId w:val="1004"/>
        </w:numPr>
      </w:pPr>
      <w:r>
        <w:t xml:space="preserve">P302+P352</w:t>
      </w:r>
      <w:r>
        <w:t xml:space="preserve"> </w:t>
      </w:r>
      <w:r>
        <w:t xml:space="preserve">EN CAS DE CONTACT AVEC LA PEAU:</w:t>
      </w:r>
    </w:p>
    <w:p>
      <w:pPr>
        <w:numPr>
          <w:ilvl w:val="0"/>
          <w:numId w:val="1004"/>
        </w:numPr>
      </w:pPr>
      <w:r>
        <w:t xml:space="preserve">P312</w:t>
      </w:r>
      <w:r>
        <w:t xml:space="preserve"> </w:t>
      </w:r>
      <w:r>
        <w:t xml:space="preserve">P312</w:t>
      </w:r>
    </w:p>
    <w:p>
      <w:pPr>
        <w:numPr>
          <w:ilvl w:val="0"/>
          <w:numId w:val="1004"/>
        </w:numPr>
      </w:pPr>
      <w:r>
        <w:t xml:space="preserve">P391</w:t>
      </w:r>
      <w:r>
        <w:t xml:space="preserve"> </w:t>
      </w:r>
      <w:r>
        <w:t xml:space="preserve">Recueillir le produit répandu.</w:t>
      </w:r>
    </w:p>
    <w:p>
      <w:pPr>
        <w:numPr>
          <w:ilvl w:val="0"/>
          <w:numId w:val="1004"/>
        </w:numPr>
      </w:pPr>
      <w:r>
        <w:t xml:space="preserve">P410+P412</w:t>
      </w:r>
      <w:r>
        <w:t xml:space="preserve"> </w:t>
      </w:r>
      <w:r>
        <w:t xml:space="preserve">Protéger du rayonnement solaire.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Classe de danger 2.1</w:t>
      </w:r>
    </w:p>
    <w:p>
      <w:pPr>
        <w:pStyle w:val="Compact"/>
        <w:numPr>
          <w:ilvl w:val="0"/>
          <w:numId w:val="1005"/>
        </w:numPr>
      </w:pPr>
      <w:r>
        <w:t xml:space="preserve">RID : Classe de danger 2.1</w:t>
      </w:r>
    </w:p>
    <w:p>
      <w:pPr>
        <w:pStyle w:val="Compact"/>
        <w:numPr>
          <w:ilvl w:val="0"/>
          <w:numId w:val="1005"/>
        </w:numPr>
      </w:pPr>
      <w:r>
        <w:t xml:space="preserve">ADN : pas disponible</w:t>
      </w:r>
    </w:p>
    <w:p>
      <w:pPr>
        <w:pStyle w:val="Compact"/>
        <w:numPr>
          <w:ilvl w:val="0"/>
          <w:numId w:val="1005"/>
        </w:numPr>
      </w:pPr>
      <w:r>
        <w:t xml:space="preserve">IMDG : Classe de danger 2.1</w:t>
      </w:r>
    </w:p>
    <w:p>
      <w:pPr>
        <w:pStyle w:val="Compact"/>
        <w:numPr>
          <w:ilvl w:val="0"/>
          <w:numId w:val="1005"/>
        </w:numPr>
      </w:pPr>
      <w:r>
        <w:t xml:space="preserve">IATA : Classe de danger 2.1</w:t>
      </w:r>
    </w:p>
    <w:p>
      <w:pPr>
        <w:pStyle w:val="Compact"/>
        <w:numPr>
          <w:ilvl w:val="0"/>
          <w:numId w:val="1005"/>
        </w:numPr>
      </w:pPr>
      <w:r>
        <w:t xml:space="preserve">UN : UN1950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Contact avec la peau • Laver immédiatement et abondamment avec de l’eau et du savon.</w:t>
      </w:r>
      <w:r>
        <w:t xml:space="preserve"> </w:t>
      </w:r>
      <w:r>
        <w:t xml:space="preserve">• Enlever les vêtements contaminés et les chaussures.</w:t>
      </w:r>
      <w:r>
        <w:t xml:space="preserve"> </w:t>
      </w:r>
      <w:r>
        <w:t xml:space="preserve">• Faire appel à une assistance médicale en cas d’apparition d’une irritation qui persiste.</w:t>
      </w:r>
    </w:p>
    <w:p>
      <w:pPr>
        <w:pStyle w:val="BodyText"/>
      </w:pPr>
      <w:r>
        <w:t xml:space="preserve">eyes : Contact avec les yeux • Rincer immédiatement avec beaucoup d’eau pendant au moins 15 minutes.</w:t>
      </w:r>
      <w:r>
        <w:t xml:space="preserve"> </w:t>
      </w:r>
      <w:r>
        <w:t xml:space="preserve">• Faire appel à une assistance médicale en cas d’apparition d’une irritation qui persiste.</w:t>
      </w:r>
    </w:p>
    <w:p>
      <w:pPr>
        <w:pStyle w:val="BodyText"/>
      </w:pPr>
      <w:r>
        <w:t xml:space="preserve">ingestion : Ingestion • Se rincer la bouche à l’eau.</w:t>
      </w:r>
      <w:r>
        <w:t xml:space="preserve"> </w:t>
      </w:r>
      <w:r>
        <w:t xml:space="preserve">• En cas d’ingestion, ne pas faire vomir – consulter un médecin.</w:t>
      </w:r>
    </w:p>
    <w:p>
      <w:pPr>
        <w:pStyle w:val="BodyText"/>
      </w:pPr>
      <w:r>
        <w:t xml:space="preserve">inhalation : Inhalation • Si les troubles se prolongent, consulter un médecin.</w:t>
      </w:r>
      <w:r>
        <w:t xml:space="preserve"> </w:t>
      </w:r>
      <w:r>
        <w:t xml:space="preserve">• En cas d’exposition à de fortes concentrations d’aérosols, aller à l’air libre.</w:t>
      </w:r>
    </w:p>
    <w:p>
      <w:r>
        <w:br w:type="page"/>
      </w:r>
    </w:p>
    <w:bookmarkEnd w:id="37"/>
    <w:bookmarkStart w:id="55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8" w:name="Xc7c1b3b996559dff0119ed0fefd2804d5dfb60e"/>
    <w:p>
      <w:pPr>
        <w:pStyle w:val="Heading3"/>
      </w:pPr>
      <w:r>
        <w:t xml:space="preserve">HYDROCARBONS, C7, N-ALKANES, ISOALKANES, CYCLICS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64742-49-0</w:t>
      </w:r>
    </w:p>
    <w:p>
      <w:pPr>
        <w:pStyle w:val="Compact"/>
        <w:numPr>
          <w:ilvl w:val="0"/>
          <w:numId w:val="1006"/>
        </w:numPr>
      </w:pPr>
      <w:r>
        <w:t xml:space="preserve">N° EINECS : 927-510-4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50.0 to 100.0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7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07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7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07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7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8">
        <w:r>
          <w:rPr>
            <w:rStyle w:val="Hyperlink"/>
            <w:color w:val="0856A0"/>
            <w:u w:val="single"/>
          </w:rPr>
          <w:t xml:space="preserve">Fiche n°322 - Solvants aliphatiques en C5-C9</w:t>
        </w:r>
      </w:hyperlink>
    </w:p>
    <w:p>
      <w:pPr>
        <w:numPr>
          <w:ilvl w:val="0"/>
          <w:numId w:val="1008"/>
        </w:numPr>
      </w:pPr>
      <w:hyperlink r:id="rId3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4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4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42">
        <w:r>
          <w:rPr>
            <w:rStyle w:val="Hyperlink"/>
            <w:color w:val="0856A0"/>
            <w:u w:val="single"/>
          </w:rPr>
          <w:t xml:space="preserve">Incendie - Explosion[10-12]</w:t>
        </w:r>
      </w:hyperlink>
    </w:p>
    <w:p>
      <w:pPr>
        <w:numPr>
          <w:ilvl w:val="0"/>
          <w:numId w:val="1008"/>
        </w:numPr>
      </w:pPr>
      <w:hyperlink r:id="rId4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4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4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7"/>
    <w:bookmarkEnd w:id="48"/>
    <w:bookmarkStart w:id="50" w:name="petrolatum-petroleum-clay-treated"/>
    <w:p>
      <w:pPr>
        <w:pStyle w:val="Heading3"/>
      </w:pPr>
      <w:r>
        <w:t xml:space="preserve">PETROLATUM (PETROLEUM) CLAY-TREATED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100684-33-1</w:t>
      </w:r>
    </w:p>
    <w:p>
      <w:pPr>
        <w:pStyle w:val="Compact"/>
        <w:numPr>
          <w:ilvl w:val="0"/>
          <w:numId w:val="1009"/>
        </w:numPr>
      </w:pPr>
      <w:r>
        <w:t xml:space="preserve">N° EINECS : 309-706-6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20.0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9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9"/>
    <w:bookmarkEnd w:id="50"/>
    <w:bookmarkStart w:id="52" w:name="propane"/>
    <w:p>
      <w:pPr>
        <w:pStyle w:val="Heading3"/>
      </w:pPr>
      <w:r>
        <w:t xml:space="preserve">PROPANE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74-98-6</w:t>
      </w:r>
    </w:p>
    <w:p>
      <w:pPr>
        <w:pStyle w:val="Compact"/>
        <w:numPr>
          <w:ilvl w:val="0"/>
          <w:numId w:val="1010"/>
        </w:numPr>
      </w:pPr>
      <w:r>
        <w:t xml:space="preserve">N° EINECS : 200-827-9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20.0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1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</w:t>
            </w:r>
          </w:p>
        </w:tc>
      </w:tr>
    </w:tbl>
    <w:bookmarkStart w:id="51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1"/>
    <w:bookmarkEnd w:id="52"/>
    <w:bookmarkStart w:id="54" w:name="butane"/>
    <w:p>
      <w:pPr>
        <w:pStyle w:val="Heading3"/>
      </w:pPr>
      <w:r>
        <w:t xml:space="preserve">BUTANE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2"/>
        </w:numPr>
      </w:pPr>
      <w:r>
        <w:t xml:space="preserve">N° CAS : 106-97-8</w:t>
      </w:r>
    </w:p>
    <w:p>
      <w:pPr>
        <w:pStyle w:val="Compact"/>
        <w:numPr>
          <w:ilvl w:val="0"/>
          <w:numId w:val="1012"/>
        </w:numPr>
      </w:pPr>
      <w:r>
        <w:t xml:space="preserve">N° EINECS : 203-448-7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20.0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3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980.0 - VLE-15min (mg/m³) : 2370.0</w:t>
            </w:r>
          </w:p>
        </w:tc>
      </w:tr>
    </w:tbl>
    <w:bookmarkStart w:id="53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3"/>
    <w:bookmarkEnd w:id="54"/>
    <w:bookmarkEnd w:id="55"/>
    <w:bookmarkStart w:id="56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Gants de protection conformes à la norme EN 374.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Lunettes de sécurité approuvées selon la norme EN 166.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Gants résistants aux solvants (caoutchouc butyle). - Caoutchouc fluoré. - Alcool de polyvinyle.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Masques ou respirateurs à filtre adapté aux vapeurs organiques. Le texte indique que, lorsqu’une ventilation insuffisante est présente, il faut porter un équipement de protection respiratoire. Les masques doivent être conformes à la norme EN 14387 (vapeurs organiques).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56"/>
    <w:bookmarkStart w:id="57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Éviter de respirer les vapeurs ou le brouillard. - Ne pas manger, boire ou fumer en manipulant ce produit. - Tenir à l’abri des flammes nues, des surfaces chaudes et des sources d’inflammation. - Éviter l’accumulation de charges électrostatiques. - Assurer une ventilation adéquate.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Tenir à l’écart de la chaleur et des sources d’ignition. - Stocker conformément à la réglementation locale. - Pour des raisons de sécurité en cas d’incendie, les bidons doivent être entreposés séparément, dans des enceintes fermées. - Récipient sous pression. - Protéger contre les rayons solaires et ne pas exposer à une température supérieure à 50 °C. - Éviter la chaleur, les flammes et les étincelles. Incompatibilités potentielles - Oxydants forts.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Lubrifiant et Protecteur</w:t>
            </w:r>
          </w:p>
        </w:tc>
      </w:tr>
    </w:tbl>
    <w:bookmarkEnd w:id="57"/>
    <w:bookmarkEnd w:id="58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8" Type="http://schemas.openxmlformats.org/officeDocument/2006/relationships/hyperlink" Target="https://www.inrs.fr/publications/bdd/fichetox/fiche.html?refINRS=FICHETOX_322" TargetMode="External"/><Relationship Id="rId41" Type="http://schemas.openxmlformats.org/officeDocument/2006/relationships/hyperlink" Target="https://www.inrs.fr/publications/bdd/fichetox/fiche.html?refINRS=FICHETOX_322&amp;section=VLEPMesurage" TargetMode="External"/><Relationship Id="rId46" Type="http://schemas.openxmlformats.org/officeDocument/2006/relationships/hyperlink" Target="https://www.inrs.fr/publications/bdd/fichetox/fiche.html?refINRS=FICHETOX_322&amp;section=bibliographieAuteurs" TargetMode="External"/><Relationship Id="rId40" Type="http://schemas.openxmlformats.org/officeDocument/2006/relationships/hyperlink" Target="https://www.inrs.fr/publications/bdd/fichetox/fiche.html?refINRS=FICHETOX_322&amp;section=caracteristiques" TargetMode="External"/><Relationship Id="rId39" Type="http://schemas.openxmlformats.org/officeDocument/2006/relationships/hyperlink" Target="https://www.inrs.fr/publications/bdd/fichetox/fiche.html?refINRS=FICHETOX_322&amp;section=generalites" TargetMode="External"/><Relationship Id="rId42" Type="http://schemas.openxmlformats.org/officeDocument/2006/relationships/hyperlink" Target="https://www.inrs.fr/publications/bdd/fichetox/fiche.html?refINRS=FICHETOX_322&amp;section=incendieExplosion" TargetMode="External"/><Relationship Id="rId43" Type="http://schemas.openxmlformats.org/officeDocument/2006/relationships/hyperlink" Target="https://www.inrs.fr/publications/bdd/fichetox/fiche.html?refINRS=FICHETOX_322&amp;section=pathologieToxicologie" TargetMode="External"/><Relationship Id="rId45" Type="http://schemas.openxmlformats.org/officeDocument/2006/relationships/hyperlink" Target="https://www.inrs.fr/publications/bdd/fichetox/fiche.html?refINRS=FICHETOX_322&amp;section=recommandations" TargetMode="External"/><Relationship Id="rId44" Type="http://schemas.openxmlformats.org/officeDocument/2006/relationships/hyperlink" Target="https://www.inrs.fr/publications/bdd/fichetox/fiche.html?refINRS=FICHETOX_322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8" Type="http://schemas.openxmlformats.org/officeDocument/2006/relationships/hyperlink" Target="https://www.inrs.fr/publications/bdd/fichetox/fiche.html?refINRS=FICHETOX_322" TargetMode="External"/><Relationship Id="rId41" Type="http://schemas.openxmlformats.org/officeDocument/2006/relationships/hyperlink" Target="https://www.inrs.fr/publications/bdd/fichetox/fiche.html?refINRS=FICHETOX_322&amp;section=VLEPMesurage" TargetMode="External"/><Relationship Id="rId46" Type="http://schemas.openxmlformats.org/officeDocument/2006/relationships/hyperlink" Target="https://www.inrs.fr/publications/bdd/fichetox/fiche.html?refINRS=FICHETOX_322&amp;section=bibliographieAuteurs" TargetMode="External"/><Relationship Id="rId40" Type="http://schemas.openxmlformats.org/officeDocument/2006/relationships/hyperlink" Target="https://www.inrs.fr/publications/bdd/fichetox/fiche.html?refINRS=FICHETOX_322&amp;section=caracteristiques" TargetMode="External"/><Relationship Id="rId39" Type="http://schemas.openxmlformats.org/officeDocument/2006/relationships/hyperlink" Target="https://www.inrs.fr/publications/bdd/fichetox/fiche.html?refINRS=FICHETOX_322&amp;section=generalites" TargetMode="External"/><Relationship Id="rId42" Type="http://schemas.openxmlformats.org/officeDocument/2006/relationships/hyperlink" Target="https://www.inrs.fr/publications/bdd/fichetox/fiche.html?refINRS=FICHETOX_322&amp;section=incendieExplosion" TargetMode="External"/><Relationship Id="rId43" Type="http://schemas.openxmlformats.org/officeDocument/2006/relationships/hyperlink" Target="https://www.inrs.fr/publications/bdd/fichetox/fiche.html?refINRS=FICHETOX_322&amp;section=pathologieToxicologie" TargetMode="External"/><Relationship Id="rId45" Type="http://schemas.openxmlformats.org/officeDocument/2006/relationships/hyperlink" Target="https://www.inrs.fr/publications/bdd/fichetox/fiche.html?refINRS=FICHETOX_322&amp;section=recommandations" TargetMode="External"/><Relationship Id="rId44" Type="http://schemas.openxmlformats.org/officeDocument/2006/relationships/hyperlink" Target="https://www.inrs.fr/publications/bdd/fichetox/fiche.html?refINRS=FICHETOX_322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2026-04-01T15:46:45Z</dcterms:created>
  <dcterms:modified xsi:type="dcterms:W3CDTF">2026-04-01T15:46:45Z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