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certified-typhoonbw-wat-tubok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NCH Belgium Inc.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certified-typhoonbw-wat-tubok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60" w:name="X9403d6a87c6f45c1ab215a8ad2ee2b92e3d1a5a"/>
    <w:p>
      <w:pPr>
        <w:pStyle w:val="Heading1"/>
      </w:pPr>
      <w:r>
        <w:t xml:space="preserve">Analyse des dangers : certified-typhoonbw-wat-tubok</w:t>
      </w:r>
    </w:p>
    <w:p>
      <w:pPr>
        <w:pStyle w:val="FirstParagraph"/>
      </w:pPr>
      <w:r>
        <w:t xml:space="preserve">Dans la suite, nous détaillons les dangers associés au produit</w:t>
      </w:r>
      <w:r>
        <w:t xml:space="preserve"> </w:t>
      </w:r>
      <w:r>
        <w:rPr>
          <w:b/>
          <w:bCs/>
        </w:rPr>
        <w:t xml:space="preserve">certified-typhoonbw-wat-tubok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NCH Belgium Inc.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10.8</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Nettoyant du film routier.</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2019-01-21</w:t>
            </w:r>
          </w:p>
        </w:tc>
      </w:tr>
    </w:tbl>
    <w:p>
      <w:pPr>
        <w:pStyle w:val="BodyText"/>
      </w:pPr>
      <w:r>
        <w:t xml:space="preserve"> </w:t>
      </w:r>
      <w:r>
        <w:t xml:space="preserve">La FDS date du 2019-01-21. Elle a donc 7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H302</w:t>
      </w:r>
      <w:r>
        <w:t xml:space="preserve"> </w:t>
      </w:r>
      <w:r>
        <w:t xml:space="preserve">Nocif en cas d’ingestion.</w:t>
      </w:r>
    </w:p>
    <w:p>
      <w:pPr>
        <w:numPr>
          <w:ilvl w:val="0"/>
          <w:numId w:val="1003"/>
        </w:numPr>
      </w:pPr>
      <w:r>
        <w:t xml:space="preserve">H315</w:t>
      </w:r>
      <w:r>
        <w:t xml:space="preserve"> </w:t>
      </w:r>
      <w:r>
        <w:t xml:space="preserve">Provoque une irritation cutanée.</w:t>
      </w:r>
    </w:p>
    <w:p>
      <w:pPr>
        <w:numPr>
          <w:ilvl w:val="0"/>
          <w:numId w:val="1003"/>
        </w:numPr>
      </w:pPr>
      <w:r>
        <w:t xml:space="preserve">H318</w:t>
      </w:r>
      <w:r>
        <w:t xml:space="preserve"> </w:t>
      </w:r>
      <w:r>
        <w:t xml:space="preserve">Provoque des lésions oculaires graves.</w:t>
      </w:r>
    </w:p>
    <w:p>
      <w:pPr>
        <w:pStyle w:val="FirstParagraph"/>
      </w:pPr>
      <w:r>
        <w:rPr>
          <w:b/>
          <w:bCs/>
        </w:rPr>
        <w:t xml:space="preserve">Conseils de prudence</w:t>
      </w:r>
      <w:r>
        <w:t xml:space="preserve"> </w:t>
      </w:r>
      <w:r>
        <w:t xml:space="preserve">:</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P310</w:t>
      </w:r>
      <w:r>
        <w:t xml:space="preserve"> </w:t>
      </w:r>
      <w:r>
        <w:t xml:space="preserve">P310</w:t>
      </w:r>
    </w:p>
    <w:p>
      <w:pPr>
        <w:pStyle w:val="FirstParagraph"/>
      </w:pPr>
      <w:r>
        <w:rPr>
          <w:b/>
          <w:bCs/>
        </w:rPr>
        <w:t xml:space="preserve">Transport</w:t>
      </w:r>
      <w:r>
        <w:t xml:space="preserve"> </w:t>
      </w:r>
      <w:r>
        <w:t xml:space="preserve">:</w:t>
      </w:r>
    </w:p>
    <w:p>
      <w:pPr>
        <w:pStyle w:val="Compact"/>
        <w:numPr>
          <w:ilvl w:val="0"/>
          <w:numId w:val="1005"/>
        </w:numPr>
      </w:pPr>
      <w:r>
        <w:t xml:space="preserve">ADR : pas disponible</w:t>
      </w:r>
    </w:p>
    <w:p>
      <w:pPr>
        <w:pStyle w:val="Compact"/>
        <w:numPr>
          <w:ilvl w:val="0"/>
          <w:numId w:val="1005"/>
        </w:numPr>
      </w:pPr>
      <w:r>
        <w:t xml:space="preserve">RID : pas disponible</w:t>
      </w:r>
    </w:p>
    <w:p>
      <w:pPr>
        <w:pStyle w:val="Compact"/>
        <w:numPr>
          <w:ilvl w:val="0"/>
          <w:numId w:val="1005"/>
        </w:numPr>
      </w:pPr>
      <w:r>
        <w:t xml:space="preserve">ADN : pas disponible</w:t>
      </w:r>
    </w:p>
    <w:p>
      <w:pPr>
        <w:pStyle w:val="Compact"/>
        <w:numPr>
          <w:ilvl w:val="0"/>
          <w:numId w:val="1005"/>
        </w:numPr>
      </w:pPr>
      <w:r>
        <w:t xml:space="preserve">IMDG : pas disponible</w:t>
      </w:r>
    </w:p>
    <w:p>
      <w:pPr>
        <w:pStyle w:val="Compact"/>
        <w:numPr>
          <w:ilvl w:val="0"/>
          <w:numId w:val="1005"/>
        </w:numPr>
      </w:pPr>
      <w:r>
        <w:t xml:space="preserve">IATA : pas disponible</w:t>
      </w:r>
    </w:p>
    <w:p>
      <w:pPr>
        <w:pStyle w:val="Compact"/>
        <w:numPr>
          <w:ilvl w:val="0"/>
          <w:numId w:val="1005"/>
        </w:numPr>
      </w:pPr>
      <w:r>
        <w:t xml:space="preserve">UN : pas disponible</w:t>
      </w:r>
    </w:p>
    <w:bookmarkEnd w:id="36"/>
    <w:bookmarkStart w:id="37" w:name="Xda6f178de632779b007ca26fa4959a763d2c7f4"/>
    <w:p>
      <w:pPr>
        <w:pStyle w:val="Heading2"/>
      </w:pPr>
      <w:r>
        <w:t xml:space="preserve">Dangers et/ou mesures par voie d’exposition</w:t>
      </w:r>
    </w:p>
    <w:p>
      <w:pPr>
        <w:pStyle w:val="FirstParagraph"/>
      </w:pPr>
      <w:r>
        <w:t xml:space="preserve">skin : Contact avec la peau</w:t>
      </w:r>
      <w:r>
        <w:t xml:space="preserve"> </w:t>
      </w:r>
      <w:r>
        <w:t xml:space="preserve">• Laver immédiatement et abondamment la zone touchée avec de l’eau et du savon.</w:t>
      </w:r>
      <w:r>
        <w:t xml:space="preserve"> </w:t>
      </w:r>
      <w:r>
        <w:t xml:space="preserve">• Enlever les vêtements et chaussures contaminés.</w:t>
      </w:r>
      <w:r>
        <w:t xml:space="preserve"> </w:t>
      </w:r>
      <w:r>
        <w:t xml:space="preserve">• Faire appel à une assistance médicale si une irritation persiste.</w:t>
      </w:r>
    </w:p>
    <w:p>
      <w:pPr>
        <w:pStyle w:val="BodyText"/>
      </w:pPr>
      <w:r>
        <w:t xml:space="preserve">eyes : Contact avec les yeux</w:t>
      </w:r>
      <w:r>
        <w:t xml:space="preserve"> </w:t>
      </w:r>
      <w:r>
        <w:t xml:space="preserve">• Rincer immédiatement les yeux avec beaucoup d’eau pendant au moins 15 minutes.</w:t>
      </w:r>
      <w:r>
        <w:t xml:space="preserve"> </w:t>
      </w:r>
      <w:r>
        <w:t xml:space="preserve">• Faire appel à une assistance médicale en cas d’irritation qui persiste.</w:t>
      </w:r>
    </w:p>
    <w:p>
      <w:pPr>
        <w:pStyle w:val="BodyText"/>
      </w:pPr>
      <w:r>
        <w:t xml:space="preserve">ingestion : Ingestion</w:t>
      </w:r>
      <w:r>
        <w:t xml:space="preserve"> </w:t>
      </w:r>
      <w:r>
        <w:t xml:space="preserve">• Se rincer la bouche à l’eau.</w:t>
      </w:r>
      <w:r>
        <w:t xml:space="preserve"> </w:t>
      </w:r>
      <w:r>
        <w:t xml:space="preserve">• Ne PAS faire vomir.</w:t>
      </w:r>
      <w:r>
        <w:t xml:space="preserve"> </w:t>
      </w:r>
      <w:r>
        <w:t xml:space="preserve">• Faire immédiatement appel à une assistance médicale.</w:t>
      </w:r>
    </w:p>
    <w:p>
      <w:pPr>
        <w:pStyle w:val="BodyText"/>
      </w:pPr>
      <w:r>
        <w:t xml:space="preserve">inhalation : Inhalation</w:t>
      </w:r>
      <w:r>
        <w:t xml:space="preserve"> </w:t>
      </w:r>
      <w:r>
        <w:t xml:space="preserve">• Retirer la personne de la zone contaminée et l’amener à l’air frais.</w:t>
      </w:r>
      <w:r>
        <w:t xml:space="preserve"> </w:t>
      </w:r>
      <w:r>
        <w:t xml:space="preserve">• Consulter un médecin si une irritation ou une difficulté à respirer apparaît.</w:t>
      </w:r>
      <w:r>
        <w:t xml:space="preserve"> </w:t>
      </w:r>
      <w:r>
        <w:t xml:space="preserve">• En cas d’exposition à de fortes concentrations de vapeur ou brouillard, aller immédiatement à l’air libre.</w:t>
      </w:r>
    </w:p>
    <w:p>
      <w:r>
        <w:br w:type="page"/>
      </w:r>
    </w:p>
    <w:bookmarkEnd w:id="37"/>
    <w:bookmarkStart w:id="57" w:name="Xd3fd47f9279b52cc9d4b00e07bdfde0bea6594f"/>
    <w:p>
      <w:pPr>
        <w:pStyle w:val="Heading2"/>
      </w:pPr>
      <w:r>
        <w:t xml:space="preserve">Informations relatives aux substances dangereuses présentes</w:t>
      </w:r>
    </w:p>
    <w:bookmarkStart w:id="48" w:name="edta-tétasodique"/>
    <w:p>
      <w:pPr>
        <w:pStyle w:val="Heading3"/>
      </w:pPr>
      <w:r>
        <w:t xml:space="preserve">EDTA tétasodique</w:t>
      </w:r>
    </w:p>
    <w:p>
      <w:pPr>
        <w:pStyle w:val="FirstParagraph"/>
      </w:pPr>
      <w:r>
        <w:rPr>
          <w:b/>
          <w:bCs/>
        </w:rPr>
        <w:t xml:space="preserve">Identification</w:t>
      </w:r>
    </w:p>
    <w:p>
      <w:pPr>
        <w:pStyle w:val="Compact"/>
        <w:numPr>
          <w:ilvl w:val="0"/>
          <w:numId w:val="1006"/>
        </w:numPr>
      </w:pPr>
      <w:r>
        <w:t xml:space="preserve">N° CAS : 64-02-8</w:t>
      </w:r>
    </w:p>
    <w:p>
      <w:pPr>
        <w:pStyle w:val="Compact"/>
        <w:numPr>
          <w:ilvl w:val="0"/>
          <w:numId w:val="1006"/>
        </w:numPr>
      </w:pPr>
      <w:r>
        <w:t xml:space="preserve">N° EINECS : 200-573-9</w:t>
      </w:r>
    </w:p>
    <w:p>
      <w:pPr>
        <w:pStyle w:val="FirstParagraph"/>
      </w:pPr>
      <w:r>
        <w:rPr>
          <w:b/>
          <w:bCs/>
        </w:rPr>
        <w:t xml:space="preserve">Concentration</w:t>
      </w:r>
      <w:r>
        <w:t xml:space="preserve"> </w:t>
      </w:r>
      <w:r>
        <w:t xml:space="preserve">:from 10.0 to 20.0</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7" w:name="propriétés"/>
    <w:p>
      <w:pPr>
        <w:pStyle w:val="Heading4"/>
      </w:pPr>
      <w:r>
        <w:t xml:space="preserve">Propriétés</w:t>
      </w:r>
    </w:p>
    <w:p>
      <w:pPr>
        <w:pStyle w:val="FirstParagraph"/>
      </w:pPr>
      <w:hyperlink r:id="rId38">
        <w:r>
          <w:rPr>
            <w:rStyle w:val="Hyperlink"/>
            <w:color w:val="0856A0"/>
            <w:u w:val="single"/>
          </w:rPr>
          <w:t xml:space="preserve">Fiche n°276 - EDTA et sel tétrasodique</w:t>
        </w:r>
      </w:hyperlink>
    </w:p>
    <w:p>
      <w:pPr>
        <w:numPr>
          <w:ilvl w:val="0"/>
          <w:numId w:val="1008"/>
        </w:numPr>
      </w:pPr>
      <w:hyperlink r:id="rId39">
        <w:r>
          <w:rPr>
            <w:rStyle w:val="Hyperlink"/>
            <w:color w:val="0856A0"/>
            <w:u w:val="single"/>
          </w:rPr>
          <w:t xml:space="preserve">Généralités</w:t>
        </w:r>
      </w:hyperlink>
    </w:p>
    <w:p>
      <w:pPr>
        <w:numPr>
          <w:ilvl w:val="0"/>
          <w:numId w:val="1008"/>
        </w:numPr>
      </w:pPr>
      <w:hyperlink r:id="rId40">
        <w:r>
          <w:rPr>
            <w:rStyle w:val="Hyperlink"/>
            <w:color w:val="0856A0"/>
            <w:u w:val="single"/>
          </w:rPr>
          <w:t xml:space="preserve">Caractéristiques</w:t>
        </w:r>
      </w:hyperlink>
    </w:p>
    <w:p>
      <w:pPr>
        <w:numPr>
          <w:ilvl w:val="0"/>
          <w:numId w:val="1008"/>
        </w:numPr>
      </w:pPr>
      <w:hyperlink r:id="rId41">
        <w:r>
          <w:rPr>
            <w:rStyle w:val="Hyperlink"/>
            <w:color w:val="0856A0"/>
            <w:u w:val="single"/>
          </w:rPr>
          <w:t xml:space="preserve">VLEPMesurage</w:t>
        </w:r>
      </w:hyperlink>
    </w:p>
    <w:p>
      <w:pPr>
        <w:numPr>
          <w:ilvl w:val="0"/>
          <w:numId w:val="1008"/>
        </w:numPr>
      </w:pPr>
      <w:hyperlink r:id="rId42">
        <w:r>
          <w:rPr>
            <w:rStyle w:val="Hyperlink"/>
            <w:color w:val="0856A0"/>
            <w:u w:val="single"/>
          </w:rPr>
          <w:t xml:space="preserve">Incendie - Explosion[2, 8-10]</w:t>
        </w:r>
      </w:hyperlink>
    </w:p>
    <w:p>
      <w:pPr>
        <w:numPr>
          <w:ilvl w:val="0"/>
          <w:numId w:val="1008"/>
        </w:numPr>
      </w:pPr>
      <w:hyperlink r:id="rId43">
        <w:r>
          <w:rPr>
            <w:rStyle w:val="Hyperlink"/>
            <w:color w:val="0856A0"/>
            <w:u w:val="single"/>
          </w:rPr>
          <w:t xml:space="preserve">Pathologie - Toxicologie</w:t>
        </w:r>
      </w:hyperlink>
    </w:p>
    <w:p>
      <w:pPr>
        <w:numPr>
          <w:ilvl w:val="0"/>
          <w:numId w:val="1008"/>
        </w:numPr>
      </w:pPr>
      <w:hyperlink r:id="rId44">
        <w:r>
          <w:rPr>
            <w:rStyle w:val="Hyperlink"/>
            <w:color w:val="0856A0"/>
            <w:u w:val="single"/>
          </w:rPr>
          <w:t xml:space="preserve">Règlementation</w:t>
        </w:r>
      </w:hyperlink>
    </w:p>
    <w:p>
      <w:pPr>
        <w:numPr>
          <w:ilvl w:val="0"/>
          <w:numId w:val="1008"/>
        </w:numPr>
      </w:pPr>
      <w:hyperlink r:id="rId45">
        <w:r>
          <w:rPr>
            <w:rStyle w:val="Hyperlink"/>
            <w:color w:val="0856A0"/>
            <w:u w:val="single"/>
          </w:rPr>
          <w:t xml:space="preserve">Recommandations</w:t>
        </w:r>
      </w:hyperlink>
    </w:p>
    <w:p>
      <w:pPr>
        <w:numPr>
          <w:ilvl w:val="0"/>
          <w:numId w:val="1008"/>
        </w:numPr>
      </w:pPr>
      <w:hyperlink r:id="rId46">
        <w:r>
          <w:rPr>
            <w:rStyle w:val="Hyperlink"/>
            <w:color w:val="0856A0"/>
            <w:u w:val="single"/>
          </w:rPr>
          <w:t xml:space="preserve">Bibliographie</w:t>
        </w:r>
      </w:hyperlink>
    </w:p>
    <w:bookmarkEnd w:id="47"/>
    <w:bookmarkEnd w:id="48"/>
    <w:bookmarkStart w:id="50" w:name="sodium-cumene-sulphonate"/>
    <w:p>
      <w:pPr>
        <w:pStyle w:val="Heading3"/>
      </w:pPr>
      <w:r>
        <w:t xml:space="preserve">SODIUM CUMENE SULPHONATE</w:t>
      </w:r>
    </w:p>
    <w:p>
      <w:pPr>
        <w:pStyle w:val="FirstParagraph"/>
      </w:pPr>
      <w:r>
        <w:rPr>
          <w:b/>
          <w:bCs/>
        </w:rPr>
        <w:t xml:space="preserve">Identification</w:t>
      </w:r>
    </w:p>
    <w:p>
      <w:pPr>
        <w:pStyle w:val="Compact"/>
        <w:numPr>
          <w:ilvl w:val="0"/>
          <w:numId w:val="1009"/>
        </w:numPr>
      </w:pPr>
      <w:r>
        <w:t xml:space="preserve">N° CAS : 32073-22-6</w:t>
      </w:r>
    </w:p>
    <w:p>
      <w:pPr>
        <w:pStyle w:val="Compact"/>
        <w:numPr>
          <w:ilvl w:val="0"/>
          <w:numId w:val="1009"/>
        </w:numPr>
      </w:pPr>
      <w:r>
        <w:t xml:space="preserve">N° EINECS : 250-913-5</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10"/>
        </w:numPr>
      </w:pPr>
      <w:r>
        <w:t xml:space="preserve">H315</w:t>
      </w:r>
      <w:r>
        <w:t xml:space="preserve"> </w:t>
      </w:r>
      <w:r>
        <w:t xml:space="preserve">Provoque une irritation cutanée.</w:t>
      </w:r>
    </w:p>
    <w:p>
      <w:pPr>
        <w:numPr>
          <w:ilvl w:val="0"/>
          <w:numId w:val="1010"/>
        </w:numPr>
      </w:pPr>
      <w:r>
        <w:t xml:space="preserve">H319</w:t>
      </w:r>
      <w:r>
        <w:t xml:space="preserve"> </w:t>
      </w:r>
      <w:r>
        <w:t xml:space="preserve">Provoque une sévère irritation des yeux.</w:t>
      </w:r>
    </w:p>
    <w:p>
      <w:pPr>
        <w:numPr>
          <w:ilvl w:val="0"/>
          <w:numId w:val="1010"/>
        </w:numPr>
      </w:pPr>
      <w:r>
        <w:t xml:space="preserve">H335</w:t>
      </w:r>
      <w:r>
        <w:t xml:space="preserve"> </w:t>
      </w:r>
      <w:r>
        <w:t xml:space="preserve">Peut irriter les voies respiratoires.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r>
        <w:t xml:space="preserve">Pas d’informations disponible.</w:t>
      </w:r>
    </w:p>
    <w:bookmarkEnd w:id="49"/>
    <w:bookmarkEnd w:id="50"/>
    <w:bookmarkStart w:id="52" w:name="dodécylebenzène-de-sodium"/>
    <w:p>
      <w:pPr>
        <w:pStyle w:val="Heading3"/>
      </w:pPr>
      <w:r>
        <w:t xml:space="preserve">Dodécylebenzène de sodium</w:t>
      </w:r>
    </w:p>
    <w:p>
      <w:pPr>
        <w:pStyle w:val="FirstParagraph"/>
      </w:pPr>
      <w:r>
        <w:rPr>
          <w:b/>
          <w:bCs/>
        </w:rPr>
        <w:t xml:space="preserve">Identification</w:t>
      </w:r>
    </w:p>
    <w:p>
      <w:pPr>
        <w:pStyle w:val="Compact"/>
        <w:numPr>
          <w:ilvl w:val="0"/>
          <w:numId w:val="1011"/>
        </w:numPr>
      </w:pPr>
      <w:r>
        <w:t xml:space="preserve">N° CAS : 85117-50-6</w:t>
      </w:r>
    </w:p>
    <w:p>
      <w:pPr>
        <w:pStyle w:val="Compact"/>
        <w:numPr>
          <w:ilvl w:val="0"/>
          <w:numId w:val="1011"/>
        </w:numPr>
      </w:pPr>
      <w:r>
        <w:t xml:space="preserve">N° EINECS : 285-600-2</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12"/>
        </w:numPr>
      </w:pPr>
      <w:r>
        <w:t xml:space="preserve">H302</w:t>
      </w:r>
      <w:r>
        <w:t xml:space="preserve"> </w:t>
      </w:r>
      <w:r>
        <w:t xml:space="preserve">Nocif en cas d’ingestion.</w:t>
      </w:r>
    </w:p>
    <w:p>
      <w:pPr>
        <w:numPr>
          <w:ilvl w:val="0"/>
          <w:numId w:val="1012"/>
        </w:numPr>
      </w:pPr>
      <w:r>
        <w:t xml:space="preserve">H315</w:t>
      </w:r>
      <w:r>
        <w:t xml:space="preserve"> </w:t>
      </w:r>
      <w:r>
        <w:t xml:space="preserve">Provoque une irritation cutanée.</w:t>
      </w:r>
    </w:p>
    <w:p>
      <w:pPr>
        <w:numPr>
          <w:ilvl w:val="0"/>
          <w:numId w:val="1012"/>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1" w:name="propriétés-2"/>
    <w:p>
      <w:pPr>
        <w:pStyle w:val="Heading4"/>
      </w:pPr>
      <w:r>
        <w:t xml:space="preserve">Propriétés</w:t>
      </w:r>
    </w:p>
    <w:p>
      <w:pPr>
        <w:pStyle w:val="FirstParagraph"/>
      </w:pPr>
      <w:r>
        <w:t xml:space="preserve">Pas d’informations disponible.</w:t>
      </w:r>
    </w:p>
    <w:bookmarkEnd w:id="51"/>
    <w:bookmarkEnd w:id="52"/>
    <w:bookmarkStart w:id="54" w:name="X646d7bd4ba9999a96d76cd98b29c5577425bb9b"/>
    <w:p>
      <w:pPr>
        <w:pStyle w:val="Heading3"/>
      </w:pPr>
      <w:r>
        <w:t xml:space="preserve">Acide phosphonique, (1-hydroxyéthylidène)bis sel tétasodique</w:t>
      </w:r>
    </w:p>
    <w:p>
      <w:pPr>
        <w:pStyle w:val="FirstParagraph"/>
      </w:pPr>
      <w:r>
        <w:rPr>
          <w:b/>
          <w:bCs/>
        </w:rPr>
        <w:t xml:space="preserve">Identification</w:t>
      </w:r>
    </w:p>
    <w:p>
      <w:pPr>
        <w:pStyle w:val="Compact"/>
        <w:numPr>
          <w:ilvl w:val="0"/>
          <w:numId w:val="1013"/>
        </w:numPr>
      </w:pPr>
      <w:r>
        <w:t xml:space="preserve">N° CAS : 3794-83-0</w:t>
      </w:r>
    </w:p>
    <w:p>
      <w:pPr>
        <w:pStyle w:val="Compact"/>
        <w:numPr>
          <w:ilvl w:val="0"/>
          <w:numId w:val="1013"/>
        </w:numPr>
      </w:pPr>
      <w:r>
        <w:t xml:space="preserve">N° EINECS : 223-267-7</w:t>
      </w:r>
    </w:p>
    <w:p>
      <w:pPr>
        <w:pStyle w:val="FirstParagraph"/>
      </w:pPr>
      <w:r>
        <w:rPr>
          <w:b/>
          <w:bCs/>
        </w:rPr>
        <w:t xml:space="preserve">Concentration</w:t>
      </w:r>
      <w:r>
        <w:t xml:space="preserve"> </w:t>
      </w:r>
      <w:r>
        <w:t xml:space="preserve">:from 3.0 to 5.0</w:t>
      </w:r>
    </w:p>
    <w:p>
      <w:pPr>
        <w:pStyle w:val="BodyText"/>
      </w:pPr>
      <w:r>
        <w:rPr>
          <w:b/>
          <w:bCs/>
        </w:rPr>
        <w:t xml:space="preserve">Dangers</w:t>
      </w:r>
      <w:r>
        <w:t xml:space="preserve"> </w:t>
      </w:r>
      <w:r>
        <w:t xml:space="preserve">:</w:t>
      </w:r>
    </w:p>
    <w:p>
      <w:pPr>
        <w:numPr>
          <w:ilvl w:val="0"/>
          <w:numId w:val="1014"/>
        </w:numPr>
      </w:pPr>
      <w:r>
        <w:t xml:space="preserve">H302</w:t>
      </w:r>
      <w:r>
        <w:t xml:space="preserve"> </w:t>
      </w:r>
      <w:r>
        <w:t xml:space="preserve">Nocif en cas d’ingestion.</w:t>
      </w:r>
    </w:p>
    <w:p>
      <w:pPr>
        <w:numPr>
          <w:ilvl w:val="0"/>
          <w:numId w:val="1014"/>
        </w:numPr>
      </w:pPr>
      <w:r>
        <w:t xml:space="preserve">H315</w:t>
      </w:r>
      <w:r>
        <w:t xml:space="preserve"> </w:t>
      </w:r>
      <w:r>
        <w:t xml:space="preserve">Provoque une irritation cutanée.</w:t>
      </w:r>
    </w:p>
    <w:p>
      <w:pPr>
        <w:numPr>
          <w:ilvl w:val="0"/>
          <w:numId w:val="1014"/>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3" w:name="propriétés-3"/>
    <w:p>
      <w:pPr>
        <w:pStyle w:val="Heading4"/>
      </w:pPr>
      <w:r>
        <w:t xml:space="preserve">Propriétés</w:t>
      </w:r>
    </w:p>
    <w:p>
      <w:pPr>
        <w:pStyle w:val="FirstParagraph"/>
      </w:pPr>
      <w:r>
        <w:t xml:space="preserve">Pas d’informations disponible.</w:t>
      </w:r>
    </w:p>
    <w:bookmarkEnd w:id="53"/>
    <w:bookmarkEnd w:id="54"/>
    <w:bookmarkStart w:id="56" w:name="pg-c9-11-pareth-6"/>
    <w:p>
      <w:pPr>
        <w:pStyle w:val="Heading3"/>
      </w:pPr>
      <w:r>
        <w:t xml:space="preserve">PG C9-11 PARETH-6</w:t>
      </w:r>
    </w:p>
    <w:p>
      <w:pPr>
        <w:pStyle w:val="FirstParagraph"/>
      </w:pPr>
      <w:r>
        <w:rPr>
          <w:b/>
          <w:bCs/>
        </w:rPr>
        <w:t xml:space="preserve">Identification</w:t>
      </w:r>
    </w:p>
    <w:p>
      <w:pPr>
        <w:pStyle w:val="Compact"/>
        <w:numPr>
          <w:ilvl w:val="0"/>
          <w:numId w:val="1015"/>
        </w:numPr>
      </w:pPr>
      <w:r>
        <w:t xml:space="preserve">N° CAS : 68439-46-3</w:t>
      </w:r>
    </w:p>
    <w:p>
      <w:pPr>
        <w:pStyle w:val="Compact"/>
        <w:numPr>
          <w:ilvl w:val="0"/>
          <w:numId w:val="1015"/>
        </w:numPr>
      </w:pPr>
      <w:r>
        <w:t xml:space="preserve">N° EINECS : None</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16"/>
        </w:numPr>
      </w:pPr>
      <w:r>
        <w:t xml:space="preserve">H302</w:t>
      </w:r>
      <w:r>
        <w:t xml:space="preserve"> </w:t>
      </w:r>
      <w:r>
        <w:t xml:space="preserve">Nocif en cas d’ingestion.</w:t>
      </w:r>
    </w:p>
    <w:p>
      <w:pPr>
        <w:numPr>
          <w:ilvl w:val="0"/>
          <w:numId w:val="1016"/>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5" w:name="propriétés-4"/>
    <w:p>
      <w:pPr>
        <w:pStyle w:val="Heading4"/>
      </w:pPr>
      <w:r>
        <w:t xml:space="preserve">Propriétés</w:t>
      </w:r>
    </w:p>
    <w:p>
      <w:pPr>
        <w:pStyle w:val="FirstParagraph"/>
      </w:pPr>
      <w:r>
        <w:t xml:space="preserve">Pas d’informations disponible.</w:t>
      </w:r>
    </w:p>
    <w:bookmarkEnd w:id="55"/>
    <w:bookmarkEnd w:id="56"/>
    <w:bookmarkEnd w:id="57"/>
    <w:bookmarkStart w:id="58"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 Utiliser des gants conformes à la norme EN 374.</w:t>
            </w:r>
            <w:r>
              <w:rPr>
                <w:sz w:val="20"/>
                <w:szCs w:val="20"/>
              </w:rPr>
              <w:t xml:space="preserve">• Types suggérés :</w:t>
            </w:r>
            <w:r>
              <w:rPr>
                <w:sz w:val="20"/>
                <w:szCs w:val="20"/>
              </w:rPr>
              <w:t xml:space="preserve"> </w:t>
            </w:r>
            <w:r>
              <w:rPr>
                <w:sz w:val="20"/>
                <w:szCs w:val="20"/>
              </w:rPr>
              <w:t xml:space="preserve"> – Caoutchouc nitrile (épaisseur : 0,4 mm)</w:t>
            </w:r>
            <w:r>
              <w:rPr>
                <w:sz w:val="20"/>
                <w:szCs w:val="20"/>
              </w:rPr>
              <w:t xml:space="preserve"> </w:t>
            </w:r>
            <w:r>
              <w:rPr>
                <w:sz w:val="20"/>
                <w:szCs w:val="20"/>
              </w:rPr>
              <w:t xml:space="preserve"> – PVC (épaisseur : 0,7 mm)</w:t>
            </w:r>
            <w:r>
              <w:rPr>
                <w:sz w:val="20"/>
                <w:szCs w:val="20"/>
              </w:rPr>
              <w:t xml:space="preserve"> </w:t>
            </w:r>
            <w:r>
              <w:rPr>
                <w:sz w:val="20"/>
                <w:szCs w:val="20"/>
              </w:rPr>
              <w:t xml:space="preserve"> – Néoprène (épaisseur : 0,4 mm)</w:t>
            </w:r>
            <w:r>
              <w:rPr>
                <w:sz w:val="20"/>
                <w:szCs w:val="20"/>
              </w:rPr>
              <w:t xml:space="preserve"> </w:t>
            </w:r>
            <w:r>
              <w:rPr>
                <w:sz w:val="20"/>
                <w:szCs w:val="20"/>
              </w:rPr>
              <w:t xml:space="preserve">• La durée d’utilisation doit être conforme aux recommandations du fabricant et dépend de la fréquence, de la durée de contact, de la température et des agents chimiques.</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Lunettes de sécurité avec protections latérales, approuvées selon EN 166.</w:t>
            </w:r>
            <w:r>
              <w:rPr>
                <w:sz w:val="20"/>
                <w:szCs w:val="20"/>
              </w:rPr>
              <w:t xml:space="preserve">• En cas de volumes importants, un écran facial doit être utilisé.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 • Utiliser des gants conformes à la norme EN 374.</w:t>
            </w:r>
            <w:r>
              <w:rPr>
                <w:sz w:val="20"/>
                <w:szCs w:val="20"/>
              </w:rPr>
              <w:t xml:space="preserve">• Types suggérés :</w:t>
            </w:r>
            <w:r>
              <w:rPr>
                <w:sz w:val="20"/>
                <w:szCs w:val="20"/>
              </w:rPr>
              <w:t xml:space="preserve"> </w:t>
            </w:r>
            <w:r>
              <w:rPr>
                <w:sz w:val="20"/>
                <w:szCs w:val="20"/>
              </w:rPr>
              <w:t xml:space="preserve"> – Caoutchouc nitrile (épaisseur : 0,4 mm)</w:t>
            </w:r>
            <w:r>
              <w:rPr>
                <w:sz w:val="20"/>
                <w:szCs w:val="20"/>
              </w:rPr>
              <w:t xml:space="preserve"> </w:t>
            </w:r>
            <w:r>
              <w:rPr>
                <w:sz w:val="20"/>
                <w:szCs w:val="20"/>
              </w:rPr>
              <w:t xml:space="preserve"> – PVC (épaisseur : 0,7 mm)</w:t>
            </w:r>
            <w:r>
              <w:rPr>
                <w:sz w:val="20"/>
                <w:szCs w:val="20"/>
              </w:rPr>
              <w:t xml:space="preserve"> </w:t>
            </w:r>
            <w:r>
              <w:rPr>
                <w:sz w:val="20"/>
                <w:szCs w:val="20"/>
              </w:rPr>
              <w:t xml:space="preserve"> – Néoprène (épaisseur : 0,4 mm)</w:t>
            </w:r>
            <w:r>
              <w:rPr>
                <w:sz w:val="20"/>
                <w:szCs w:val="20"/>
              </w:rPr>
              <w:t xml:space="preserve"> </w:t>
            </w:r>
            <w:r>
              <w:rPr>
                <w:sz w:val="20"/>
                <w:szCs w:val="20"/>
              </w:rPr>
              <w:t xml:space="preserve">• La durée d’utilisation doit être conforme aux recommandations du fabricant et dépend de la fréquence, de la durée de contact, de la température et des agents chimiques.</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 • Masques respiratoires : non requis dans les conditions normales d’utilisation.</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 Aucune combinaison ou vêtement de protection spécifique n’est mentionné dans la section.</w:t>
            </w:r>
          </w:p>
        </w:tc>
      </w:tr>
    </w:tbl>
    <w:bookmarkEnd w:id="58"/>
    <w:bookmarkStart w:id="59"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Éviter le contact avec la peau, les yeux et les vêtements. Éviter de respirer les vapeurs ou le brouillard. Ne pas manger, boire ou fumer en manipulant ce produit. Assurer une ventilation adéquate.</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dans le conteneur original. Garder les récipients bien fermés dans un endroit sec, frais et bien ventilé.</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Nettoyant du film routier.</w:t>
            </w:r>
          </w:p>
        </w:tc>
      </w:tr>
    </w:tbl>
    <w:bookmarkEnd w:id="59"/>
    <w:bookmarkEnd w:id="60"/>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38" Type="http://schemas.openxmlformats.org/officeDocument/2006/relationships/hyperlink" Target="https://www.inrs.fr/publications/bdd/fichetox/fiche.html?refINRS=FICHETOX_276" TargetMode="External"/><Relationship Id="rId41" Type="http://schemas.openxmlformats.org/officeDocument/2006/relationships/hyperlink" Target="https://www.inrs.fr/publications/bdd/fichetox/fiche.html?refINRS=FICHETOX_276&amp;section=VLEPMesurage" TargetMode="External"/><Relationship Id="rId46" Type="http://schemas.openxmlformats.org/officeDocument/2006/relationships/hyperlink" Target="https://www.inrs.fr/publications/bdd/fichetox/fiche.html?refINRS=FICHETOX_276&amp;section=bibliographieAuteurs" TargetMode="External"/><Relationship Id="rId40" Type="http://schemas.openxmlformats.org/officeDocument/2006/relationships/hyperlink" Target="https://www.inrs.fr/publications/bdd/fichetox/fiche.html?refINRS=FICHETOX_276&amp;section=caracteristiques" TargetMode="External"/><Relationship Id="rId39" Type="http://schemas.openxmlformats.org/officeDocument/2006/relationships/hyperlink" Target="https://www.inrs.fr/publications/bdd/fichetox/fiche.html?refINRS=FICHETOX_276&amp;section=generalites" TargetMode="External"/><Relationship Id="rId42" Type="http://schemas.openxmlformats.org/officeDocument/2006/relationships/hyperlink" Target="https://www.inrs.fr/publications/bdd/fichetox/fiche.html?refINRS=FICHETOX_276&amp;section=incendieExplosion" TargetMode="External"/><Relationship Id="rId43" Type="http://schemas.openxmlformats.org/officeDocument/2006/relationships/hyperlink" Target="https://www.inrs.fr/publications/bdd/fichetox/fiche.html?refINRS=FICHETOX_276&amp;section=pathologieToxicologie" TargetMode="External"/><Relationship Id="rId45" Type="http://schemas.openxmlformats.org/officeDocument/2006/relationships/hyperlink" Target="https://www.inrs.fr/publications/bdd/fichetox/fiche.html?refINRS=FICHETOX_276&amp;section=recommandations" TargetMode="External"/><Relationship Id="rId44" Type="http://schemas.openxmlformats.org/officeDocument/2006/relationships/hyperlink" Target="https://www.inrs.fr/publications/bdd/fichetox/fiche.html?refINRS=FICHETOX_276&amp;section=reglementation" TargetMode="External"/></Relationships>
</file>

<file path=word/_rels/footnotes.xml.rels><?xml version='1.0' encoding='UTF-8' standalone='yes'?>
<Relationships xmlns="http://schemas.openxmlformats.org/package/2006/relationships"><Relationship Id="rId38" Type="http://schemas.openxmlformats.org/officeDocument/2006/relationships/hyperlink" Target="https://www.inrs.fr/publications/bdd/fichetox/fiche.html?refINRS=FICHETOX_276" TargetMode="External"/><Relationship Id="rId41" Type="http://schemas.openxmlformats.org/officeDocument/2006/relationships/hyperlink" Target="https://www.inrs.fr/publications/bdd/fichetox/fiche.html?refINRS=FICHETOX_276&amp;section=VLEPMesurage" TargetMode="External"/><Relationship Id="rId46" Type="http://schemas.openxmlformats.org/officeDocument/2006/relationships/hyperlink" Target="https://www.inrs.fr/publications/bdd/fichetox/fiche.html?refINRS=FICHETOX_276&amp;section=bibliographieAuteurs" TargetMode="External"/><Relationship Id="rId40" Type="http://schemas.openxmlformats.org/officeDocument/2006/relationships/hyperlink" Target="https://www.inrs.fr/publications/bdd/fichetox/fiche.html?refINRS=FICHETOX_276&amp;section=caracteristiques" TargetMode="External"/><Relationship Id="rId39" Type="http://schemas.openxmlformats.org/officeDocument/2006/relationships/hyperlink" Target="https://www.inrs.fr/publications/bdd/fichetox/fiche.html?refINRS=FICHETOX_276&amp;section=generalites" TargetMode="External"/><Relationship Id="rId42" Type="http://schemas.openxmlformats.org/officeDocument/2006/relationships/hyperlink" Target="https://www.inrs.fr/publications/bdd/fichetox/fiche.html?refINRS=FICHETOX_276&amp;section=incendieExplosion" TargetMode="External"/><Relationship Id="rId43" Type="http://schemas.openxmlformats.org/officeDocument/2006/relationships/hyperlink" Target="https://www.inrs.fr/publications/bdd/fichetox/fiche.html?refINRS=FICHETOX_276&amp;section=pathologieToxicologie" TargetMode="External"/><Relationship Id="rId45" Type="http://schemas.openxmlformats.org/officeDocument/2006/relationships/hyperlink" Target="https://www.inrs.fr/publications/bdd/fichetox/fiche.html?refINRS=FICHETOX_276&amp;section=recommandations" TargetMode="External"/><Relationship Id="rId44" Type="http://schemas.openxmlformats.org/officeDocument/2006/relationships/hyperlink" Target="https://www.inrs.fr/publications/bdd/fichetox/fiche.html?refINRS=FICHETOX_27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2026-04-01T15:53:17Z</dcterms:created>
  <dcterms:modified xsi:type="dcterms:W3CDTF">2026-04-01T15:53:17Z</dcterms:modified>
</cp:coreProperties>
</file>

<file path=docProps/custom.xml><?xml version="1.0" encoding="utf-8"?>
<Properties xmlns="http://schemas.openxmlformats.org/officeDocument/2006/custom-properties" xmlns:vt="http://schemas.openxmlformats.org/officeDocument/2006/docPropsVTypes"/>
</file>