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certified-watrex102300y1grez-jodok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certified-watrex102300y1grez-jodok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X449e0a532adc31ff08d409e6fa9c738de8d0b17"/>
    <w:p>
      <w:pPr>
        <w:pStyle w:val="Heading1"/>
      </w:pPr>
      <w:r>
        <w:t xml:space="preserve">Analyse des dangers : certified-watrex102300y1grez-jodok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certified-watrex102300y1grez-jodok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Peinture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2019-01-21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2019-01-21.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EUH066</w:t>
      </w:r>
      <w:r>
        <w:t xml:space="preserve"> </w:t>
      </w:r>
      <w:r>
        <w:t xml:space="preserve">L’exposition répétée peut provoquer dessèchement ou gerçures de la peau.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3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3</w:t>
      </w:r>
    </w:p>
    <w:p>
      <w:pPr>
        <w:pStyle w:val="Compact"/>
        <w:numPr>
          <w:ilvl w:val="0"/>
          <w:numId w:val="1005"/>
        </w:numPr>
      </w:pPr>
      <w:r>
        <w:t xml:space="preserve">IATA : 3</w:t>
      </w:r>
    </w:p>
    <w:p>
      <w:pPr>
        <w:pStyle w:val="Compact"/>
        <w:numPr>
          <w:ilvl w:val="0"/>
          <w:numId w:val="1005"/>
        </w:numPr>
      </w:pPr>
      <w:r>
        <w:t xml:space="preserve">UN : UN1263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</w:t>
      </w:r>
      <w:r>
        <w:t xml:space="preserve"> </w:t>
      </w:r>
      <w:r>
        <w:t xml:space="preserve">• Laver immédiatement et abondamment la zone touchée avec de l’eau et du savon.</w:t>
      </w:r>
      <w:r>
        <w:t xml:space="preserve"> </w:t>
      </w:r>
      <w:r>
        <w:t xml:space="preserve">• Enlever les vêtements et chaussures contaminés.</w:t>
      </w:r>
      <w:r>
        <w:t xml:space="preserve"> </w:t>
      </w:r>
      <w:r>
        <w:t xml:space="preserve">• En cas d’irritation persistante, consulter un professionnel de santé.</w:t>
      </w:r>
    </w:p>
    <w:p>
      <w:pPr>
        <w:pStyle w:val="BodyText"/>
      </w:pPr>
      <w:r>
        <w:t xml:space="preserve">eyes : Contact avec les yeux</w:t>
      </w:r>
      <w:r>
        <w:t xml:space="preserve"> </w:t>
      </w:r>
      <w:r>
        <w:t xml:space="preserve">• Rincer immédiatement les yeux avec beaucoup d’eau pendant au moins 15 minutes.</w:t>
      </w:r>
      <w:r>
        <w:t xml:space="preserve"> </w:t>
      </w:r>
      <w:r>
        <w:t xml:space="preserve">• Appeler immédiatement un médecin après le rinçage.</w:t>
      </w:r>
    </w:p>
    <w:p>
      <w:pPr>
        <w:pStyle w:val="BodyText"/>
      </w:pPr>
      <w:r>
        <w:t xml:space="preserve">ingestion : Ingestion</w:t>
      </w:r>
      <w:r>
        <w:t xml:space="preserve"> </w:t>
      </w:r>
      <w:r>
        <w:t xml:space="preserve">• Se rincer la bouche à l’eau.</w:t>
      </w:r>
      <w:r>
        <w:t xml:space="preserve"> </w:t>
      </w:r>
      <w:r>
        <w:t xml:space="preserve">• Ne pas faire vomir.</w:t>
      </w:r>
      <w:r>
        <w:t xml:space="preserve"> </w:t>
      </w:r>
      <w:r>
        <w:t xml:space="preserve">• Consulter un médecin et montrer l’étiquette du produit.</w:t>
      </w:r>
    </w:p>
    <w:p>
      <w:pPr>
        <w:pStyle w:val="BodyText"/>
      </w:pPr>
      <w:r>
        <w:t xml:space="preserve">inhalation : Inhalation</w:t>
      </w:r>
      <w:r>
        <w:t xml:space="preserve"> </w:t>
      </w:r>
      <w:r>
        <w:t xml:space="preserve">• Aller immédiatement à l’air libre.</w:t>
      </w:r>
      <w:r>
        <w:t xml:space="preserve"> </w:t>
      </w:r>
      <w:r>
        <w:t xml:space="preserve">• Si les troubles respiratoires persistent, consulter un médecin.</w:t>
      </w:r>
      <w:r>
        <w:t xml:space="preserve"> </w:t>
      </w:r>
      <w:r>
        <w:t xml:space="preserve">• En cas d’exposition à de fortes concentrations de vapeur ou brouillard, quitter immédiatement la zone et respirer de l’air frais.</w:t>
      </w:r>
    </w:p>
    <w:p>
      <w:r>
        <w:br w:type="page"/>
      </w:r>
    </w:p>
    <w:bookmarkEnd w:id="40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ff04eaf150a6f6be0ae46410199f65a968d7a1b"/>
    <w:p>
      <w:pPr>
        <w:pStyle w:val="Heading3"/>
      </w:pPr>
      <w:r>
        <w:t xml:space="preserve">HYDROCARBONS, C9-C11, ALKANES, ISOALKANES, CYCLICS, &lt;2% AROMATICS NOT ASSIGNED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919-857-5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53" w:name="naphtha-petroleum-hydrotreated-heavy"/>
    <w:p>
      <w:pPr>
        <w:pStyle w:val="Heading3"/>
      </w:pPr>
      <w:r>
        <w:t xml:space="preserve">NAPHTHA (PETROLEUM) HYDROTREATED HEAVY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64742-48-9</w:t>
      </w:r>
    </w:p>
    <w:p>
      <w:pPr>
        <w:pStyle w:val="Compact"/>
        <w:numPr>
          <w:ilvl w:val="0"/>
          <w:numId w:val="1008"/>
        </w:numPr>
      </w:pPr>
      <w:r>
        <w:t xml:space="preserve">N° EINECS : 918-481-9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n°325 - Solvants aliphatiques en C9-C20 désaromatisés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Explosion[12-14]</w:t>
        </w:r>
      </w:hyperlink>
    </w:p>
    <w:p>
      <w:pPr>
        <w:numPr>
          <w:ilvl w:val="0"/>
          <w:numId w:val="1010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gants de protection conforme à la norme EN 374. Type de gants suggérés : Gants résistants aux solvants (caoutchouc butyle). Caoutchouc fluoré. Alcool de polyvinyle.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si la méthode d’utilisation peut entraîner un contact oculaire. Approuvé selon EN 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Lorsque la ventilation du local est insuffisante, porter un équipement de protection respiratoire. Conforme à EN 14387 (vapeurs organiques).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de respirer les vapeurs ou le brouillard. - Ne pas manger, boire ou fumer en manipulant ce produit. - Tenir à l’abri des flammes nues, des surfaces chaudes et des sources d’inflammation. - Éviter l’accumulation de charges électrostatiques. - Ne jamais siphonner avec la bouche. - Assurer une ventilation adéquate. - Utiliser une confinement secondaire (planchers/surfaces étanches) pour contenir les déversements.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le conteneur original. Garder les récipients bien fermés dans un endroit sec, frais et bien ventilé. Tenir à l’écart de la chaleur et des sources d’ignition. Stocker conformément à la réglementation locale.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Peinture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325" TargetMode="External"/><Relationship Id="rId46" Type="http://schemas.openxmlformats.org/officeDocument/2006/relationships/hyperlink" Target="https://www.inrs.fr/publications/bdd/fichetox/fiche.html?refINRS=FICHETOX_325&amp;section=VLEPMesurage" TargetMode="External"/><Relationship Id="rId51" Type="http://schemas.openxmlformats.org/officeDocument/2006/relationships/hyperlink" Target="https://www.inrs.fr/publications/bdd/fichetox/fiche.html?refINRS=FICHETOX_325&amp;section=bibliographieAuteurs" TargetMode="External"/><Relationship Id="rId45" Type="http://schemas.openxmlformats.org/officeDocument/2006/relationships/hyperlink" Target="https://www.inrs.fr/publications/bdd/fichetox/fiche.html?refINRS=FICHETOX_325&amp;section=caracteristiques" TargetMode="External"/><Relationship Id="rId44" Type="http://schemas.openxmlformats.org/officeDocument/2006/relationships/hyperlink" Target="https://www.inrs.fr/publications/bdd/fichetox/fiche.html?refINRS=FICHETOX_325&amp;section=generalites" TargetMode="External"/><Relationship Id="rId47" Type="http://schemas.openxmlformats.org/officeDocument/2006/relationships/hyperlink" Target="https://www.inrs.fr/publications/bdd/fichetox/fiche.html?refINRS=FICHETOX_325&amp;section=incendieExplosion" TargetMode="External"/><Relationship Id="rId48" Type="http://schemas.openxmlformats.org/officeDocument/2006/relationships/hyperlink" Target="https://www.inrs.fr/publications/bdd/fichetox/fiche.html?refINRS=FICHETOX_325&amp;section=pathologieToxicologie" TargetMode="External"/><Relationship Id="rId50" Type="http://schemas.openxmlformats.org/officeDocument/2006/relationships/hyperlink" Target="https://www.inrs.fr/publications/bdd/fichetox/fiche.html?refINRS=FICHETOX_325&amp;section=recommandations" TargetMode="External"/><Relationship Id="rId49" Type="http://schemas.openxmlformats.org/officeDocument/2006/relationships/hyperlink" Target="https://www.inrs.fr/publications/bdd/fichetox/fiche.html?refINRS=FICHETOX_32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325" TargetMode="External"/><Relationship Id="rId46" Type="http://schemas.openxmlformats.org/officeDocument/2006/relationships/hyperlink" Target="https://www.inrs.fr/publications/bdd/fichetox/fiche.html?refINRS=FICHETOX_325&amp;section=VLEPMesurage" TargetMode="External"/><Relationship Id="rId51" Type="http://schemas.openxmlformats.org/officeDocument/2006/relationships/hyperlink" Target="https://www.inrs.fr/publications/bdd/fichetox/fiche.html?refINRS=FICHETOX_325&amp;section=bibliographieAuteurs" TargetMode="External"/><Relationship Id="rId45" Type="http://schemas.openxmlformats.org/officeDocument/2006/relationships/hyperlink" Target="https://www.inrs.fr/publications/bdd/fichetox/fiche.html?refINRS=FICHETOX_325&amp;section=caracteristiques" TargetMode="External"/><Relationship Id="rId44" Type="http://schemas.openxmlformats.org/officeDocument/2006/relationships/hyperlink" Target="https://www.inrs.fr/publications/bdd/fichetox/fiche.html?refINRS=FICHETOX_325&amp;section=generalites" TargetMode="External"/><Relationship Id="rId47" Type="http://schemas.openxmlformats.org/officeDocument/2006/relationships/hyperlink" Target="https://www.inrs.fr/publications/bdd/fichetox/fiche.html?refINRS=FICHETOX_325&amp;section=incendieExplosion" TargetMode="External"/><Relationship Id="rId48" Type="http://schemas.openxmlformats.org/officeDocument/2006/relationships/hyperlink" Target="https://www.inrs.fr/publications/bdd/fichetox/fiche.html?refINRS=FICHETOX_325&amp;section=pathologieToxicologie" TargetMode="External"/><Relationship Id="rId50" Type="http://schemas.openxmlformats.org/officeDocument/2006/relationships/hyperlink" Target="https://www.inrs.fr/publications/bdd/fichetox/fiche.html?refINRS=FICHETOX_325&amp;section=recommandations" TargetMode="External"/><Relationship Id="rId49" Type="http://schemas.openxmlformats.org/officeDocument/2006/relationships/hyperlink" Target="https://www.inrs.fr/publications/bdd/fichetox/fiche.html?refINRS=FICHETOX_32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2026-04-01T15:55:57Z</dcterms:created>
  <dcterms:modified xsi:type="dcterms:W3CDTF">2026-04-01T15:55:57Z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