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certifiednchbelgium-aqua-solplusrosieres-jod-tub-grezok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NCH FRANCE S.A.S.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2026-04-01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certifiednchbelgium-aqua-solplusrosieres-jod-tub-grezok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79" w:name="X54687a44333c1a2e978494f7a513f0c87a99ca9"/>
    <w:p>
      <w:pPr>
        <w:pStyle w:val="Heading1"/>
      </w:pPr>
      <w:r>
        <w:t xml:space="preserve">Analyse des dangers : certifiednchbelgium-aqua-solplusrosieres-jod-tub-grezok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certifiednchbelgium-aqua-solplusrosieres-jod-tub-grezok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auto" w:w="0"/>
        <w:jc w:val="lef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autofit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NCH FRANCE S.A.S.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Dégraissant en phase aqueuse.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2017-05-30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2017-05-30. Elle a donc 8 an(s).</w:t>
      </w:r>
    </w:p>
    <w:p>
      <w:pPr>
        <w:pStyle w:val="BodyText"/>
      </w:pPr>
      <w:r>
        <w:t xml:space="preserve">La FDS ayant plus de 5 ans, il est</w:t>
      </w:r>
      <w:r>
        <w:t xml:space="preserve"> </w:t>
      </w:r>
      <w:r>
        <w:rPr>
          <w:i/>
          <w:iCs/>
        </w:rPr>
        <w:t xml:space="preserve">nécessaire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3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Danger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Corrosif" title="" id="31" name="Picture"/>
            <a:graphic>
              <a:graphicData uri="http://schemas.openxmlformats.org/drawingml/2006/picture">
                <pic:pic>
                  <pic:nvPicPr>
                    <pic:cNvPr descr="templates/SGH05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Corrosif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3"/>
        </w:numPr>
      </w:pPr>
      <w:r>
        <w:t xml:space="preserve">H314</w:t>
      </w:r>
      <w:r>
        <w:t xml:space="preserve"> </w:t>
      </w:r>
      <w:r>
        <w:t xml:space="preserve">Provoque des brûlures de la peau et des lésions oculaires graves.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P260</w:t>
      </w:r>
      <w:r>
        <w:t xml:space="preserve"> </w:t>
      </w:r>
      <w:r>
        <w:t xml:space="preserve">Ne pas respirer les poussières/fumées/gaz/brouillards/vapeurs/ aérosols.</w:t>
      </w:r>
    </w:p>
    <w:p>
      <w:pPr>
        <w:numPr>
          <w:ilvl w:val="0"/>
          <w:numId w:val="1004"/>
        </w:numPr>
      </w:pPr>
      <w:r>
        <w:t xml:space="preserve">P280</w:t>
      </w:r>
      <w:r>
        <w:t xml:space="preserve"> </w:t>
      </w:r>
      <w:r>
        <w:t xml:space="preserve">Porter des gants de protection/des vêtements de protection/un équipement de protection des yeux/ du visage.</w:t>
      </w:r>
    </w:p>
    <w:p>
      <w:pPr>
        <w:numPr>
          <w:ilvl w:val="0"/>
          <w:numId w:val="1004"/>
        </w:numPr>
      </w:pPr>
      <w:r>
        <w:t xml:space="preserve">P301+P330+P331</w:t>
      </w:r>
      <w:r>
        <w:t xml:space="preserve"> </w:t>
      </w:r>
      <w:r>
        <w:t xml:space="preserve">EN CAS D’INGESTION: rincer la bouche. NE PAS faire vomir.</w:t>
      </w:r>
    </w:p>
    <w:p>
      <w:pPr>
        <w:numPr>
          <w:ilvl w:val="0"/>
          <w:numId w:val="1004"/>
        </w:numPr>
      </w:pPr>
      <w:r>
        <w:t xml:space="preserve">P303+P361+P353</w:t>
      </w:r>
      <w:r>
        <w:t xml:space="preserve"> </w:t>
      </w:r>
      <w:r>
        <w:t xml:space="preserve">EN CAS DE CONTACT AVEC LA PEAU (ou les cheveux):</w:t>
      </w:r>
    </w:p>
    <w:p>
      <w:pPr>
        <w:numPr>
          <w:ilvl w:val="0"/>
          <w:numId w:val="1004"/>
        </w:numPr>
      </w:pPr>
      <w:r>
        <w:t xml:space="preserve">P305+P351+P338</w:t>
      </w:r>
      <w:r>
        <w:t xml:space="preserve"> </w:t>
      </w:r>
      <w:r>
        <w:t xml:space="preserve">EN CAS DE CONTACT AVEC LES YEUX: rincer avec précaution à l’eau pendant plusieurs minutes. Enlever les lentilles de contact si la victime en porte et si elles peuvent être facilement enlevées. Continuer à rincer.</w:t>
      </w:r>
    </w:p>
    <w:p>
      <w:pPr>
        <w:numPr>
          <w:ilvl w:val="0"/>
          <w:numId w:val="1004"/>
        </w:numPr>
      </w:pPr>
      <w:r>
        <w:t xml:space="preserve">P310</w:t>
      </w:r>
      <w:r>
        <w:t xml:space="preserve"> </w:t>
      </w:r>
      <w:r>
        <w:t xml:space="preserve">P310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5"/>
        </w:numPr>
      </w:pPr>
      <w:r>
        <w:t xml:space="preserve">ADR : 8</w:t>
      </w:r>
    </w:p>
    <w:p>
      <w:pPr>
        <w:pStyle w:val="Compact"/>
        <w:numPr>
          <w:ilvl w:val="0"/>
          <w:numId w:val="1005"/>
        </w:numPr>
      </w:pPr>
      <w:r>
        <w:t xml:space="preserve">RID : 8</w:t>
      </w:r>
    </w:p>
    <w:p>
      <w:pPr>
        <w:pStyle w:val="Compact"/>
        <w:numPr>
          <w:ilvl w:val="0"/>
          <w:numId w:val="1005"/>
        </w:numPr>
      </w:pPr>
      <w:r>
        <w:t xml:space="preserve">ADN : -</w:t>
      </w:r>
    </w:p>
    <w:p>
      <w:pPr>
        <w:pStyle w:val="Compact"/>
        <w:numPr>
          <w:ilvl w:val="0"/>
          <w:numId w:val="1005"/>
        </w:numPr>
      </w:pPr>
      <w:r>
        <w:t xml:space="preserve">IMDG : 8</w:t>
      </w:r>
    </w:p>
    <w:p>
      <w:pPr>
        <w:pStyle w:val="Compact"/>
        <w:numPr>
          <w:ilvl w:val="0"/>
          <w:numId w:val="1005"/>
        </w:numPr>
      </w:pPr>
      <w:r>
        <w:t xml:space="preserve">IATA : 8</w:t>
      </w:r>
    </w:p>
    <w:p>
      <w:pPr>
        <w:pStyle w:val="Compact"/>
        <w:numPr>
          <w:ilvl w:val="0"/>
          <w:numId w:val="1005"/>
        </w:numPr>
      </w:pPr>
      <w:r>
        <w:t xml:space="preserve">UN : 3266</w:t>
      </w:r>
    </w:p>
    <w:bookmarkEnd w:id="33"/>
    <w:bookmarkStart w:id="34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Enlever immédiatement les vêtements contaminés.</w:t>
      </w:r>
      <w:r>
        <w:t xml:space="preserve"> </w:t>
      </w:r>
      <w:r>
        <w:t xml:space="preserve">Laver abondamment à l’eau pendant au moins 15 minutes.</w:t>
      </w:r>
      <w:r>
        <w:t xml:space="preserve"> </w:t>
      </w:r>
      <w:r>
        <w:t xml:space="preserve">Appeler immédiatement un centre antipoison ou un médecin.</w:t>
      </w:r>
    </w:p>
    <w:p>
      <w:pPr>
        <w:pStyle w:val="BodyText"/>
      </w:pPr>
      <w:r>
        <w:t xml:space="preserve">eyes : Rincer immédiatement avec beaucoup d’eau pendant au moins 15 minutes.</w:t>
      </w:r>
      <w:r>
        <w:t xml:space="preserve"> </w:t>
      </w:r>
      <w:r>
        <w:t xml:space="preserve">Enlever les lentilles de contact si elles sont portées et peuvent être facilement retirées.</w:t>
      </w:r>
      <w:r>
        <w:t xml:space="preserve"> </w:t>
      </w:r>
      <w:r>
        <w:t xml:space="preserve">Appeler immédiatement un centre antipoison ou un médecin.</w:t>
      </w:r>
    </w:p>
    <w:p>
      <w:pPr>
        <w:pStyle w:val="BodyText"/>
      </w:pPr>
      <w:r>
        <w:t xml:space="preserve">ingestion : Ne jamais faire vomir une personne inconsciente.</w:t>
      </w:r>
      <w:r>
        <w:t xml:space="preserve"> </w:t>
      </w:r>
      <w:r>
        <w:t xml:space="preserve">Faire boire 1 ou 2 verres d’eau.</w:t>
      </w:r>
      <w:r>
        <w:t xml:space="preserve"> </w:t>
      </w:r>
      <w:r>
        <w:t xml:space="preserve">Appeler immédiatement un centre antipoison ou un médecin.</w:t>
      </w:r>
    </w:p>
    <w:p>
      <w:pPr>
        <w:pStyle w:val="BodyText"/>
      </w:pPr>
      <w:r>
        <w:t xml:space="preserve">inhalation : Amener la victime à l’air libre.</w:t>
      </w:r>
      <w:r>
        <w:t xml:space="preserve"> </w:t>
      </w:r>
      <w:r>
        <w:t xml:space="preserve">En cas d’arrêt respiratoire, pratiquer la respiration artificielle.</w:t>
      </w:r>
      <w:r>
        <w:t xml:space="preserve"> </w:t>
      </w:r>
      <w:r>
        <w:t xml:space="preserve">Appeler immédiatement un centre antipoison ou un médecin.</w:t>
      </w:r>
    </w:p>
    <w:p>
      <w:r>
        <w:br w:type="page"/>
      </w:r>
    </w:p>
    <w:bookmarkEnd w:id="34"/>
    <w:bookmarkStart w:id="76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36" w:name="propylene-glycol-monobutyl-ether"/>
    <w:p>
      <w:pPr>
        <w:pStyle w:val="Heading3"/>
      </w:pPr>
      <w:r>
        <w:t xml:space="preserve">PROPYLENE GLYCOL MONOBUTYL ETHER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6"/>
        </w:numPr>
      </w:pPr>
      <w:r>
        <w:t xml:space="preserve">N° CAS : 5131-66-8</w:t>
      </w:r>
    </w:p>
    <w:p>
      <w:pPr>
        <w:pStyle w:val="Compact"/>
        <w:numPr>
          <w:ilvl w:val="0"/>
          <w:numId w:val="1006"/>
        </w:numPr>
      </w:pPr>
      <w:r>
        <w:t xml:space="preserve">N° EINECS : 225-878-4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3.0 to 5.0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7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07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5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5"/>
    <w:bookmarkEnd w:id="36"/>
    <w:bookmarkStart w:id="38" w:name="silicate-de-sodium"/>
    <w:p>
      <w:pPr>
        <w:pStyle w:val="Heading3"/>
      </w:pPr>
      <w:r>
        <w:t xml:space="preserve">SILICATE DE SODIUM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8"/>
        </w:numPr>
      </w:pPr>
      <w:r>
        <w:t xml:space="preserve">N° CAS : 1344-09-8</w:t>
      </w:r>
    </w:p>
    <w:p>
      <w:pPr>
        <w:pStyle w:val="Compact"/>
        <w:numPr>
          <w:ilvl w:val="0"/>
          <w:numId w:val="1008"/>
        </w:numPr>
      </w:pPr>
      <w:r>
        <w:t xml:space="preserve">N° EINECS : 215-687-4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3.0 to 5.0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9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09"/>
        </w:numPr>
      </w:pPr>
      <w:r>
        <w:t xml:space="preserve">H318</w:t>
      </w:r>
      <w:r>
        <w:t xml:space="preserve"> </w:t>
      </w:r>
      <w:r>
        <w:t xml:space="preserve">Provoque des lésions oculaires graves.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7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7"/>
    <w:bookmarkEnd w:id="38"/>
    <w:bookmarkStart w:id="40" w:name="sodium-c14-17-sec-alkyl-sulfonate"/>
    <w:p>
      <w:pPr>
        <w:pStyle w:val="Heading3"/>
      </w:pPr>
      <w:r>
        <w:t xml:space="preserve">SODIUM C14-17 SEC ALKYL SULFONATE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0"/>
        </w:numPr>
      </w:pPr>
      <w:r>
        <w:t xml:space="preserve">N° CAS : 97489-15-1</w:t>
      </w:r>
    </w:p>
    <w:p>
      <w:pPr>
        <w:pStyle w:val="Compact"/>
        <w:numPr>
          <w:ilvl w:val="0"/>
          <w:numId w:val="1010"/>
        </w:numPr>
      </w:pPr>
      <w:r>
        <w:t xml:space="preserve">N° EINECS : 307-055-2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1.0 to 3.0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1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11"/>
        </w:numPr>
      </w:pPr>
      <w:r>
        <w:t xml:space="preserve">H318</w:t>
      </w:r>
      <w:r>
        <w:t xml:space="preserve"> </w:t>
      </w:r>
      <w:r>
        <w:t xml:space="preserve">Provoque des lésions oculaires graves.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9" w:name="propriétés-2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9"/>
    <w:bookmarkEnd w:id="40"/>
    <w:bookmarkStart w:id="51" w:name="dipropylene-glycol-methyl-ether"/>
    <w:p>
      <w:pPr>
        <w:pStyle w:val="Heading3"/>
      </w:pPr>
      <w:r>
        <w:t xml:space="preserve">DIPROPYLENE GLYCOL METHYL ETHER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2"/>
        </w:numPr>
      </w:pPr>
      <w:r>
        <w:t xml:space="preserve">N° CAS : 34590-94-8</w:t>
      </w:r>
    </w:p>
    <w:p>
      <w:pPr>
        <w:pStyle w:val="Compact"/>
        <w:numPr>
          <w:ilvl w:val="0"/>
          <w:numId w:val="1012"/>
        </w:numPr>
      </w:pPr>
      <w:r>
        <w:t xml:space="preserve">N° EINECS : 252-104-2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1.0 to 3.0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50.0 - VLE-8h (mg/m³) : None</w:t>
            </w:r>
          </w:p>
        </w:tc>
      </w:tr>
    </w:tbl>
    <w:bookmarkStart w:id="50" w:name="propriétés-3"/>
    <w:p>
      <w:pPr>
        <w:pStyle w:val="Heading4"/>
      </w:pPr>
      <w:r>
        <w:t xml:space="preserve">Propriétés</w:t>
      </w:r>
    </w:p>
    <w:p>
      <w:pPr>
        <w:pStyle w:val="FirstParagraph"/>
      </w:pPr>
      <w:hyperlink r:id="rId41">
        <w:r>
          <w:rPr>
            <w:rStyle w:val="Hyperlink"/>
            <w:color w:val="0856A0"/>
            <w:u w:val="single"/>
          </w:rPr>
          <w:t xml:space="preserve">Fiche n°330 - (2-Méthoxyméthyléthoxy)propanol</w:t>
        </w:r>
      </w:hyperlink>
    </w:p>
    <w:p>
      <w:pPr>
        <w:numPr>
          <w:ilvl w:val="0"/>
          <w:numId w:val="1013"/>
        </w:numPr>
      </w:pPr>
      <w:hyperlink r:id="rId42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13"/>
        </w:numPr>
      </w:pPr>
      <w:hyperlink r:id="rId43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13"/>
        </w:numPr>
      </w:pPr>
      <w:hyperlink r:id="rId44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13"/>
        </w:numPr>
      </w:pPr>
      <w:hyperlink r:id="rId45">
        <w:r>
          <w:rPr>
            <w:rStyle w:val="Hyperlink"/>
            <w:color w:val="0856A0"/>
            <w:u w:val="single"/>
          </w:rPr>
          <w:t xml:space="preserve">Incendie - Explosion[3, 10-12]</w:t>
        </w:r>
      </w:hyperlink>
    </w:p>
    <w:p>
      <w:pPr>
        <w:numPr>
          <w:ilvl w:val="0"/>
          <w:numId w:val="1013"/>
        </w:numPr>
      </w:pPr>
      <w:hyperlink r:id="rId46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13"/>
        </w:numPr>
      </w:pPr>
      <w:hyperlink r:id="rId47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13"/>
        </w:numPr>
      </w:pPr>
      <w:hyperlink r:id="rId48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13"/>
        </w:numPr>
      </w:pPr>
      <w:hyperlink r:id="rId49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50"/>
    <w:bookmarkEnd w:id="51"/>
    <w:bookmarkStart w:id="53" w:name="isotridecanol-éthoxylate"/>
    <w:p>
      <w:pPr>
        <w:pStyle w:val="Heading3"/>
      </w:pPr>
      <w:r>
        <w:t xml:space="preserve">Isotridecanol éthoxylate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4"/>
        </w:numPr>
      </w:pPr>
      <w:r>
        <w:t xml:space="preserve">N° CAS : 69011-36-5</w:t>
      </w:r>
    </w:p>
    <w:p>
      <w:pPr>
        <w:pStyle w:val="Compact"/>
        <w:numPr>
          <w:ilvl w:val="0"/>
          <w:numId w:val="1014"/>
        </w:numPr>
      </w:pPr>
      <w:r>
        <w:t xml:space="preserve">N° EINECS : 500-241-6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1.0 to 3.0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5"/>
        </w:numPr>
      </w:pPr>
      <w:r>
        <w:t xml:space="preserve">H302</w:t>
      </w:r>
      <w:r>
        <w:t xml:space="preserve"> </w:t>
      </w:r>
      <w:r>
        <w:t xml:space="preserve">Nocif en cas d’ingestion.</w:t>
      </w:r>
    </w:p>
    <w:p>
      <w:pPr>
        <w:numPr>
          <w:ilvl w:val="0"/>
          <w:numId w:val="1015"/>
        </w:numPr>
      </w:pPr>
      <w:r>
        <w:t xml:space="preserve">H318</w:t>
      </w:r>
      <w:r>
        <w:t xml:space="preserve"> </w:t>
      </w:r>
      <w:r>
        <w:t xml:space="preserve">Provoque des lésions oculaires graves.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52" w:name="propriétés-4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52"/>
    <w:bookmarkEnd w:id="53"/>
    <w:bookmarkStart w:id="64" w:name="aminoethanol"/>
    <w:p>
      <w:pPr>
        <w:pStyle w:val="Heading3"/>
      </w:pPr>
      <w:r>
        <w:t xml:space="preserve">2-AMINOETHANOL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6"/>
        </w:numPr>
      </w:pPr>
      <w:r>
        <w:t xml:space="preserve">N° CAS : 141-43-5</w:t>
      </w:r>
    </w:p>
    <w:p>
      <w:pPr>
        <w:pStyle w:val="Compact"/>
        <w:numPr>
          <w:ilvl w:val="0"/>
          <w:numId w:val="1016"/>
        </w:numPr>
      </w:pPr>
      <w:r>
        <w:t xml:space="preserve">N° EINECS : 205-483-3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:less or equal to 1.0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7"/>
        </w:numPr>
      </w:pPr>
      <w:r>
        <w:t xml:space="preserve">H302</w:t>
      </w:r>
      <w:r>
        <w:t xml:space="preserve"> </w:t>
      </w:r>
      <w:r>
        <w:t xml:space="preserve">Nocif en cas d’ingestion.</w:t>
      </w:r>
    </w:p>
    <w:p>
      <w:pPr>
        <w:numPr>
          <w:ilvl w:val="0"/>
          <w:numId w:val="1017"/>
        </w:numPr>
      </w:pPr>
      <w:r>
        <w:t xml:space="preserve">H312</w:t>
      </w:r>
      <w:r>
        <w:t xml:space="preserve"> </w:t>
      </w:r>
      <w:r>
        <w:t xml:space="preserve">Nocif par contact cutané.</w:t>
      </w:r>
    </w:p>
    <w:p>
      <w:pPr>
        <w:numPr>
          <w:ilvl w:val="0"/>
          <w:numId w:val="1017"/>
        </w:numPr>
      </w:pPr>
      <w:r>
        <w:t xml:space="preserve">H314</w:t>
      </w:r>
      <w:r>
        <w:t xml:space="preserve"> </w:t>
      </w:r>
      <w:r>
        <w:t xml:space="preserve">Provoque des brûlures de la peau et des lésions oculaires graves.</w:t>
      </w:r>
    </w:p>
    <w:p>
      <w:pPr>
        <w:numPr>
          <w:ilvl w:val="0"/>
          <w:numId w:val="1017"/>
        </w:numPr>
      </w:pPr>
      <w:r>
        <w:t xml:space="preserve">H332</w:t>
      </w:r>
      <w:r>
        <w:t xml:space="preserve"> </w:t>
      </w:r>
      <w:r>
        <w:t xml:space="preserve">Nocif par inhalation.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1.0 - VLE-8h (mg/m³) : 2.5 - VLE-15min (ppm) : 3.0 - VLE-15min (mg/m³) : 7.6</w:t>
            </w:r>
          </w:p>
        </w:tc>
      </w:tr>
    </w:tbl>
    <w:bookmarkStart w:id="63" w:name="propriétés-5"/>
    <w:p>
      <w:pPr>
        <w:pStyle w:val="Heading4"/>
      </w:pPr>
      <w:r>
        <w:t xml:space="preserve">Propriétés</w:t>
      </w:r>
    </w:p>
    <w:p>
      <w:pPr>
        <w:pStyle w:val="FirstParagraph"/>
      </w:pPr>
      <w:hyperlink r:id="rId54">
        <w:r>
          <w:rPr>
            <w:rStyle w:val="Hyperlink"/>
            <w:color w:val="0856A0"/>
            <w:u w:val="single"/>
          </w:rPr>
          <w:t xml:space="preserve">Fiche n°146 - 2-Aminoéthanol</w:t>
        </w:r>
      </w:hyperlink>
    </w:p>
    <w:p>
      <w:pPr>
        <w:numPr>
          <w:ilvl w:val="0"/>
          <w:numId w:val="1018"/>
        </w:numPr>
      </w:pPr>
      <w:hyperlink r:id="rId55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18"/>
        </w:numPr>
      </w:pPr>
      <w:hyperlink r:id="rId56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18"/>
        </w:numPr>
      </w:pPr>
      <w:hyperlink r:id="rId57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18"/>
        </w:numPr>
      </w:pPr>
      <w:hyperlink r:id="rId58">
        <w:r>
          <w:rPr>
            <w:rStyle w:val="Hyperlink"/>
            <w:color w:val="0856A0"/>
            <w:u w:val="single"/>
          </w:rPr>
          <w:t xml:space="preserve">Incendie - Explosion[5, 8, 11, 17-19]</w:t>
        </w:r>
      </w:hyperlink>
    </w:p>
    <w:p>
      <w:pPr>
        <w:numPr>
          <w:ilvl w:val="0"/>
          <w:numId w:val="1018"/>
        </w:numPr>
      </w:pPr>
      <w:hyperlink r:id="rId59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18"/>
        </w:numPr>
      </w:pPr>
      <w:hyperlink r:id="rId60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18"/>
        </w:numPr>
      </w:pPr>
      <w:hyperlink r:id="rId61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18"/>
        </w:numPr>
      </w:pPr>
      <w:hyperlink r:id="rId62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63"/>
    <w:bookmarkEnd w:id="64"/>
    <w:bookmarkStart w:id="75" w:name="hydroxide-de-sodium"/>
    <w:p>
      <w:pPr>
        <w:pStyle w:val="Heading3"/>
      </w:pPr>
      <w:r>
        <w:t xml:space="preserve">HYDROXIDE DE SODIUM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9"/>
        </w:numPr>
      </w:pPr>
      <w:r>
        <w:t xml:space="preserve">N° CAS : 1310-73-2</w:t>
      </w:r>
    </w:p>
    <w:p>
      <w:pPr>
        <w:pStyle w:val="Compact"/>
        <w:numPr>
          <w:ilvl w:val="0"/>
          <w:numId w:val="1019"/>
        </w:numPr>
      </w:pPr>
      <w:r>
        <w:t xml:space="preserve">N° EINECS : 215-185-5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:less or equal to 1.0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20"/>
        </w:numPr>
      </w:pPr>
      <w:r>
        <w:t xml:space="preserve">H314</w:t>
      </w:r>
      <w:r>
        <w:t xml:space="preserve"> </w:t>
      </w:r>
      <w:r>
        <w:t xml:space="preserve">Provoque des brûlures de la peau et des lésions oculaires graves.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(mg/m³) : 2.0</w:t>
            </w:r>
          </w:p>
        </w:tc>
      </w:tr>
    </w:tbl>
    <w:bookmarkStart w:id="74" w:name="propriétés-6"/>
    <w:p>
      <w:pPr>
        <w:pStyle w:val="Heading4"/>
      </w:pPr>
      <w:r>
        <w:t xml:space="preserve">Propriétés</w:t>
      </w:r>
    </w:p>
    <w:p>
      <w:pPr>
        <w:pStyle w:val="FirstParagraph"/>
      </w:pPr>
      <w:hyperlink r:id="rId65">
        <w:r>
          <w:rPr>
            <w:rStyle w:val="Hyperlink"/>
            <w:color w:val="0856A0"/>
            <w:u w:val="single"/>
          </w:rPr>
          <w:t xml:space="preserve">Fiche n°20 - Hydroxyde de sodium et solutions aqueuses</w:t>
        </w:r>
      </w:hyperlink>
    </w:p>
    <w:p>
      <w:pPr>
        <w:numPr>
          <w:ilvl w:val="0"/>
          <w:numId w:val="1021"/>
        </w:numPr>
      </w:pPr>
      <w:hyperlink r:id="rId66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21"/>
        </w:numPr>
      </w:pPr>
      <w:hyperlink r:id="rId67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21"/>
        </w:numPr>
      </w:pPr>
      <w:hyperlink r:id="rId68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21"/>
        </w:numPr>
      </w:pPr>
      <w:hyperlink r:id="rId69">
        <w:r>
          <w:rPr>
            <w:rStyle w:val="Hyperlink"/>
            <w:color w:val="0856A0"/>
            <w:u w:val="single"/>
          </w:rPr>
          <w:t xml:space="preserve">Incendie - Explosion[7, 8]</w:t>
        </w:r>
      </w:hyperlink>
    </w:p>
    <w:p>
      <w:pPr>
        <w:numPr>
          <w:ilvl w:val="0"/>
          <w:numId w:val="1021"/>
        </w:numPr>
      </w:pPr>
      <w:hyperlink r:id="rId70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21"/>
        </w:numPr>
      </w:pPr>
      <w:hyperlink r:id="rId71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21"/>
        </w:numPr>
      </w:pPr>
      <w:hyperlink r:id="rId72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21"/>
        </w:numPr>
      </w:pPr>
      <w:hyperlink r:id="rId73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74"/>
    <w:bookmarkEnd w:id="75"/>
    <w:bookmarkEnd w:id="76"/>
    <w:bookmarkStart w:id="77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Protection des mains (gants) • Gants de protection conformes à la norme EN 374.</w:t>
            </w:r>
            <w:r>
              <w:rPr>
                <w:sz w:val="20"/>
                <w:szCs w:val="20"/>
              </w:rPr>
              <w:t xml:space="preserve">• Types suggérés :</w:t>
            </w:r>
            <w:r>
              <w:rPr>
                <w:sz w:val="20"/>
                <w:szCs w:val="20"/>
              </w:rPr>
              <w:t xml:space="preserve"> – Caoutchouc nitrile (épaisseur 0,4 mm).</w:t>
            </w:r>
            <w:r>
              <w:rPr>
                <w:sz w:val="20"/>
                <w:szCs w:val="20"/>
              </w:rPr>
              <w:t xml:space="preserve"> – PVC (épaisseur 0,7 mm).</w:t>
            </w:r>
            <w:r>
              <w:rPr>
                <w:sz w:val="20"/>
                <w:szCs w:val="20"/>
              </w:rPr>
              <w:t xml:space="preserve"> – Neoprène (épaisseur 0,4 mm).</w:t>
            </w:r>
            <w:r>
              <w:rPr>
                <w:sz w:val="20"/>
                <w:szCs w:val="20"/>
              </w:rPr>
              <w:t xml:space="preserve">• Utilisation à courte durée (contacts occasionnels ou protection contre les éclaboussures).</w:t>
            </w:r>
            <w:r>
              <w:rPr>
                <w:sz w:val="20"/>
                <w:szCs w:val="20"/>
              </w:rPr>
              <w:t xml:space="preserve">• Temps de passage minimal de la matière constitutive du gant : &gt; 480 min (niveau de performance 6).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Protection des yeux • Lunettes de sécurité avec protections latérales.</w:t>
            </w:r>
            <w:r>
              <w:rPr>
                <w:sz w:val="20"/>
                <w:szCs w:val="20"/>
              </w:rPr>
              <w:t xml:space="preserve">• Approuvées selon la norme EN 166.</w:t>
            </w:r>
            <w:r>
              <w:rPr>
                <w:sz w:val="20"/>
                <w:szCs w:val="20"/>
              </w:rPr>
              <w:t xml:space="preserve">• Pour des volumes importants, un écran facial doit être utilisé.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Protection de la peau / vêtements de protection • Choisir la protection du corps en fonction du niveau d’activité et d’exposition.</w:t>
            </w:r>
            <w:r>
              <w:rPr>
                <w:sz w:val="20"/>
                <w:szCs w:val="20"/>
              </w:rPr>
              <w:t xml:space="preserve">• Exemples :</w:t>
            </w:r>
            <w:r>
              <w:rPr>
                <w:sz w:val="20"/>
                <w:szCs w:val="20"/>
              </w:rPr>
              <w:t xml:space="preserve"> – Chaussures ou bottes (article chaussant).</w:t>
            </w:r>
            <w:r>
              <w:rPr>
                <w:sz w:val="20"/>
                <w:szCs w:val="20"/>
              </w:rPr>
              <w:t xml:space="preserve"> – Tablier à manches longues.</w:t>
            </w:r>
            <w:r>
              <w:rPr>
                <w:sz w:val="20"/>
                <w:szCs w:val="20"/>
              </w:rPr>
              <w:t xml:space="preserve"> – Combinaison imperméable.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Masques respiratoires / filtres • Utiliser des masques respiratoires conformes à la norme EN 143.</w:t>
            </w:r>
            <w:r>
              <w:rPr>
                <w:sz w:val="20"/>
                <w:szCs w:val="20"/>
              </w:rPr>
              <w:t xml:space="preserve">• Filtre de type P2/P3 (filtre à particules).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Protection de la peau / vêtements de protection • Choisir la protection du corps en fonction du niveau d’activité et d’exposition.</w:t>
            </w:r>
            <w:r>
              <w:rPr>
                <w:sz w:val="20"/>
                <w:szCs w:val="20"/>
              </w:rPr>
              <w:t xml:space="preserve">• Exemples :</w:t>
            </w:r>
            <w:r>
              <w:rPr>
                <w:sz w:val="20"/>
                <w:szCs w:val="20"/>
              </w:rPr>
              <w:t xml:space="preserve"> – Chaussures ou bottes (article chaussant).</w:t>
            </w:r>
            <w:r>
              <w:rPr>
                <w:sz w:val="20"/>
                <w:szCs w:val="20"/>
              </w:rPr>
              <w:t xml:space="preserve"> – Tablier à manches longues.</w:t>
            </w:r>
            <w:r>
              <w:rPr>
                <w:sz w:val="20"/>
                <w:szCs w:val="20"/>
              </w:rPr>
              <w:t xml:space="preserve"> – Combinaison imperméable.</w:t>
            </w:r>
          </w:p>
        </w:tc>
      </w:tr>
    </w:tbl>
    <w:bookmarkEnd w:id="77"/>
    <w:bookmarkStart w:id="78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Formation à son utilisation est recommandée. - Éviter le contact avec la peau, les yeux et les vêtements. - Ne pas manger, boire ou fumer en manipulant le produit. - Assurer une ventilation adéquate.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Conserver dans le conteneur original. Garder les récipients bien fermés dans un endroit sec, frais et bien ventilé.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Dégraissant en phase aqueuse.</w:t>
            </w:r>
          </w:p>
        </w:tc>
      </w:tr>
    </w:tbl>
    <w:bookmarkEnd w:id="78"/>
    <w:bookmarkEnd w:id="79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  <w:num w:numId="1014">
    <w:abstractNumId w:val="991"/>
  </w:num>
  <w:num w:numId="1015">
    <w:abstractNumId w:val="991"/>
  </w:num>
  <w:num w:numId="1016">
    <w:abstractNumId w:val="991"/>
  </w:num>
  <w:num w:numId="1017">
    <w:abstractNumId w:val="991"/>
  </w:num>
  <w:num w:numId="1018">
    <w:abstractNumId w:val="991"/>
  </w:num>
  <w:num w:numId="1019">
    <w:abstractNumId w:val="991"/>
  </w:num>
  <w:num w:numId="1020">
    <w:abstractNumId w:val="991"/>
  </w:num>
  <w:num w:numId="102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23" Type="http://schemas.openxmlformats.org/officeDocument/2006/relationships/image" Target="media/rId23.png"/><Relationship Id="rId20" Type="http://schemas.openxmlformats.org/officeDocument/2006/relationships/image" Target="media/rId20.png"/><Relationship Id="rId54" Type="http://schemas.openxmlformats.org/officeDocument/2006/relationships/hyperlink" Target="https://www.inrs.fr/publications/bdd/fichetox/fiche.html?refINRS=FICHETOX_146" TargetMode="External"/><Relationship Id="rId57" Type="http://schemas.openxmlformats.org/officeDocument/2006/relationships/hyperlink" Target="https://www.inrs.fr/publications/bdd/fichetox/fiche.html?refINRS=FICHETOX_146&amp;section=VLEPMesurage" TargetMode="External"/><Relationship Id="rId62" Type="http://schemas.openxmlformats.org/officeDocument/2006/relationships/hyperlink" Target="https://www.inrs.fr/publications/bdd/fichetox/fiche.html?refINRS=FICHETOX_146&amp;section=bibliographieAuteurs" TargetMode="External"/><Relationship Id="rId56" Type="http://schemas.openxmlformats.org/officeDocument/2006/relationships/hyperlink" Target="https://www.inrs.fr/publications/bdd/fichetox/fiche.html?refINRS=FICHETOX_146&amp;section=caracteristiques" TargetMode="External"/><Relationship Id="rId55" Type="http://schemas.openxmlformats.org/officeDocument/2006/relationships/hyperlink" Target="https://www.inrs.fr/publications/bdd/fichetox/fiche.html?refINRS=FICHETOX_146&amp;section=generalites" TargetMode="External"/><Relationship Id="rId58" Type="http://schemas.openxmlformats.org/officeDocument/2006/relationships/hyperlink" Target="https://www.inrs.fr/publications/bdd/fichetox/fiche.html?refINRS=FICHETOX_146&amp;section=incendieExplosion" TargetMode="External"/><Relationship Id="rId59" Type="http://schemas.openxmlformats.org/officeDocument/2006/relationships/hyperlink" Target="https://www.inrs.fr/publications/bdd/fichetox/fiche.html?refINRS=FICHETOX_146&amp;section=pathologieToxicologie" TargetMode="External"/><Relationship Id="rId61" Type="http://schemas.openxmlformats.org/officeDocument/2006/relationships/hyperlink" Target="https://www.inrs.fr/publications/bdd/fichetox/fiche.html?refINRS=FICHETOX_146&amp;section=recommandations" TargetMode="External"/><Relationship Id="rId60" Type="http://schemas.openxmlformats.org/officeDocument/2006/relationships/hyperlink" Target="https://www.inrs.fr/publications/bdd/fichetox/fiche.html?refINRS=FICHETOX_146&amp;section=reglementation" TargetMode="External"/><Relationship Id="rId65" Type="http://schemas.openxmlformats.org/officeDocument/2006/relationships/hyperlink" Target="https://www.inrs.fr/publications/bdd/fichetox/fiche.html?refINRS=FICHETOX_20" TargetMode="External"/><Relationship Id="rId68" Type="http://schemas.openxmlformats.org/officeDocument/2006/relationships/hyperlink" Target="https://www.inrs.fr/publications/bdd/fichetox/fiche.html?refINRS=FICHETOX_20&amp;section=VLEPMesurage" TargetMode="External"/><Relationship Id="rId73" Type="http://schemas.openxmlformats.org/officeDocument/2006/relationships/hyperlink" Target="https://www.inrs.fr/publications/bdd/fichetox/fiche.html?refINRS=FICHETOX_20&amp;section=bibliographieAuteurs" TargetMode="External"/><Relationship Id="rId67" Type="http://schemas.openxmlformats.org/officeDocument/2006/relationships/hyperlink" Target="https://www.inrs.fr/publications/bdd/fichetox/fiche.html?refINRS=FICHETOX_20&amp;section=caracteristiques" TargetMode="External"/><Relationship Id="rId66" Type="http://schemas.openxmlformats.org/officeDocument/2006/relationships/hyperlink" Target="https://www.inrs.fr/publications/bdd/fichetox/fiche.html?refINRS=FICHETOX_20&amp;section=generalites" TargetMode="External"/><Relationship Id="rId69" Type="http://schemas.openxmlformats.org/officeDocument/2006/relationships/hyperlink" Target="https://www.inrs.fr/publications/bdd/fichetox/fiche.html?refINRS=FICHETOX_20&amp;section=incendieExplosion" TargetMode="External"/><Relationship Id="rId70" Type="http://schemas.openxmlformats.org/officeDocument/2006/relationships/hyperlink" Target="https://www.inrs.fr/publications/bdd/fichetox/fiche.html?refINRS=FICHETOX_20&amp;section=pathologieToxicologie" TargetMode="External"/><Relationship Id="rId72" Type="http://schemas.openxmlformats.org/officeDocument/2006/relationships/hyperlink" Target="https://www.inrs.fr/publications/bdd/fichetox/fiche.html?refINRS=FICHETOX_20&amp;section=recommandations" TargetMode="External"/><Relationship Id="rId71" Type="http://schemas.openxmlformats.org/officeDocument/2006/relationships/hyperlink" Target="https://www.inrs.fr/publications/bdd/fichetox/fiche.html?refINRS=FICHETOX_20&amp;section=reglementation" TargetMode="External"/><Relationship Id="rId41" Type="http://schemas.openxmlformats.org/officeDocument/2006/relationships/hyperlink" Target="https://www.inrs.fr/publications/bdd/fichetox/fiche.html?refINRS=FICHETOX_330" TargetMode="External"/><Relationship Id="rId44" Type="http://schemas.openxmlformats.org/officeDocument/2006/relationships/hyperlink" Target="https://www.inrs.fr/publications/bdd/fichetox/fiche.html?refINRS=FICHETOX_330&amp;section=VLEPMesurage" TargetMode="External"/><Relationship Id="rId49" Type="http://schemas.openxmlformats.org/officeDocument/2006/relationships/hyperlink" Target="https://www.inrs.fr/publications/bdd/fichetox/fiche.html?refINRS=FICHETOX_330&amp;section=bibliographieAuteurs" TargetMode="External"/><Relationship Id="rId43" Type="http://schemas.openxmlformats.org/officeDocument/2006/relationships/hyperlink" Target="https://www.inrs.fr/publications/bdd/fichetox/fiche.html?refINRS=FICHETOX_330&amp;section=caracteristiques" TargetMode="External"/><Relationship Id="rId42" Type="http://schemas.openxmlformats.org/officeDocument/2006/relationships/hyperlink" Target="https://www.inrs.fr/publications/bdd/fichetox/fiche.html?refINRS=FICHETOX_330&amp;section=generalites" TargetMode="External"/><Relationship Id="rId45" Type="http://schemas.openxmlformats.org/officeDocument/2006/relationships/hyperlink" Target="https://www.inrs.fr/publications/bdd/fichetox/fiche.html?refINRS=FICHETOX_330&amp;section=incendieExplosion" TargetMode="External"/><Relationship Id="rId46" Type="http://schemas.openxmlformats.org/officeDocument/2006/relationships/hyperlink" Target="https://www.inrs.fr/publications/bdd/fichetox/fiche.html?refINRS=FICHETOX_330&amp;section=pathologieToxicologie" TargetMode="External"/><Relationship Id="rId48" Type="http://schemas.openxmlformats.org/officeDocument/2006/relationships/hyperlink" Target="https://www.inrs.fr/publications/bdd/fichetox/fiche.html?refINRS=FICHETOX_330&amp;section=recommandations" TargetMode="External"/><Relationship Id="rId47" Type="http://schemas.openxmlformats.org/officeDocument/2006/relationships/hyperlink" Target="https://www.inrs.fr/publications/bdd/fichetox/fiche.html?refINRS=FICHETOX_330&amp;section=reglementation" TargetMode="External"/></Relationships>
</file>

<file path=word/_rels/footnotes.xml.rels><?xml version='1.0' encoding='UTF-8' standalone='yes'?>
<Relationships xmlns="http://schemas.openxmlformats.org/package/2006/relationships"><Relationship Id="rId54" Type="http://schemas.openxmlformats.org/officeDocument/2006/relationships/hyperlink" Target="https://www.inrs.fr/publications/bdd/fichetox/fiche.html?refINRS=FICHETOX_146" TargetMode="External"/><Relationship Id="rId57" Type="http://schemas.openxmlformats.org/officeDocument/2006/relationships/hyperlink" Target="https://www.inrs.fr/publications/bdd/fichetox/fiche.html?refINRS=FICHETOX_146&amp;section=VLEPMesurage" TargetMode="External"/><Relationship Id="rId62" Type="http://schemas.openxmlformats.org/officeDocument/2006/relationships/hyperlink" Target="https://www.inrs.fr/publications/bdd/fichetox/fiche.html?refINRS=FICHETOX_146&amp;section=bibliographieAuteurs" TargetMode="External"/><Relationship Id="rId56" Type="http://schemas.openxmlformats.org/officeDocument/2006/relationships/hyperlink" Target="https://www.inrs.fr/publications/bdd/fichetox/fiche.html?refINRS=FICHETOX_146&amp;section=caracteristiques" TargetMode="External"/><Relationship Id="rId55" Type="http://schemas.openxmlformats.org/officeDocument/2006/relationships/hyperlink" Target="https://www.inrs.fr/publications/bdd/fichetox/fiche.html?refINRS=FICHETOX_146&amp;section=generalites" TargetMode="External"/><Relationship Id="rId58" Type="http://schemas.openxmlformats.org/officeDocument/2006/relationships/hyperlink" Target="https://www.inrs.fr/publications/bdd/fichetox/fiche.html?refINRS=FICHETOX_146&amp;section=incendieExplosion" TargetMode="External"/><Relationship Id="rId59" Type="http://schemas.openxmlformats.org/officeDocument/2006/relationships/hyperlink" Target="https://www.inrs.fr/publications/bdd/fichetox/fiche.html?refINRS=FICHETOX_146&amp;section=pathologieToxicologie" TargetMode="External"/><Relationship Id="rId61" Type="http://schemas.openxmlformats.org/officeDocument/2006/relationships/hyperlink" Target="https://www.inrs.fr/publications/bdd/fichetox/fiche.html?refINRS=FICHETOX_146&amp;section=recommandations" TargetMode="External"/><Relationship Id="rId60" Type="http://schemas.openxmlformats.org/officeDocument/2006/relationships/hyperlink" Target="https://www.inrs.fr/publications/bdd/fichetox/fiche.html?refINRS=FICHETOX_146&amp;section=reglementation" TargetMode="External"/><Relationship Id="rId65" Type="http://schemas.openxmlformats.org/officeDocument/2006/relationships/hyperlink" Target="https://www.inrs.fr/publications/bdd/fichetox/fiche.html?refINRS=FICHETOX_20" TargetMode="External"/><Relationship Id="rId68" Type="http://schemas.openxmlformats.org/officeDocument/2006/relationships/hyperlink" Target="https://www.inrs.fr/publications/bdd/fichetox/fiche.html?refINRS=FICHETOX_20&amp;section=VLEPMesurage" TargetMode="External"/><Relationship Id="rId73" Type="http://schemas.openxmlformats.org/officeDocument/2006/relationships/hyperlink" Target="https://www.inrs.fr/publications/bdd/fichetox/fiche.html?refINRS=FICHETOX_20&amp;section=bibliographieAuteurs" TargetMode="External"/><Relationship Id="rId67" Type="http://schemas.openxmlformats.org/officeDocument/2006/relationships/hyperlink" Target="https://www.inrs.fr/publications/bdd/fichetox/fiche.html?refINRS=FICHETOX_20&amp;section=caracteristiques" TargetMode="External"/><Relationship Id="rId66" Type="http://schemas.openxmlformats.org/officeDocument/2006/relationships/hyperlink" Target="https://www.inrs.fr/publications/bdd/fichetox/fiche.html?refINRS=FICHETOX_20&amp;section=generalites" TargetMode="External"/><Relationship Id="rId69" Type="http://schemas.openxmlformats.org/officeDocument/2006/relationships/hyperlink" Target="https://www.inrs.fr/publications/bdd/fichetox/fiche.html?refINRS=FICHETOX_20&amp;section=incendieExplosion" TargetMode="External"/><Relationship Id="rId70" Type="http://schemas.openxmlformats.org/officeDocument/2006/relationships/hyperlink" Target="https://www.inrs.fr/publications/bdd/fichetox/fiche.html?refINRS=FICHETOX_20&amp;section=pathologieToxicologie" TargetMode="External"/><Relationship Id="rId72" Type="http://schemas.openxmlformats.org/officeDocument/2006/relationships/hyperlink" Target="https://www.inrs.fr/publications/bdd/fichetox/fiche.html?refINRS=FICHETOX_20&amp;section=recommandations" TargetMode="External"/><Relationship Id="rId71" Type="http://schemas.openxmlformats.org/officeDocument/2006/relationships/hyperlink" Target="https://www.inrs.fr/publications/bdd/fichetox/fiche.html?refINRS=FICHETOX_20&amp;section=reglementation" TargetMode="External"/><Relationship Id="rId41" Type="http://schemas.openxmlformats.org/officeDocument/2006/relationships/hyperlink" Target="https://www.inrs.fr/publications/bdd/fichetox/fiche.html?refINRS=FICHETOX_330" TargetMode="External"/><Relationship Id="rId44" Type="http://schemas.openxmlformats.org/officeDocument/2006/relationships/hyperlink" Target="https://www.inrs.fr/publications/bdd/fichetox/fiche.html?refINRS=FICHETOX_330&amp;section=VLEPMesurage" TargetMode="External"/><Relationship Id="rId49" Type="http://schemas.openxmlformats.org/officeDocument/2006/relationships/hyperlink" Target="https://www.inrs.fr/publications/bdd/fichetox/fiche.html?refINRS=FICHETOX_330&amp;section=bibliographieAuteurs" TargetMode="External"/><Relationship Id="rId43" Type="http://schemas.openxmlformats.org/officeDocument/2006/relationships/hyperlink" Target="https://www.inrs.fr/publications/bdd/fichetox/fiche.html?refINRS=FICHETOX_330&amp;section=caracteristiques" TargetMode="External"/><Relationship Id="rId42" Type="http://schemas.openxmlformats.org/officeDocument/2006/relationships/hyperlink" Target="https://www.inrs.fr/publications/bdd/fichetox/fiche.html?refINRS=FICHETOX_330&amp;section=generalites" TargetMode="External"/><Relationship Id="rId45" Type="http://schemas.openxmlformats.org/officeDocument/2006/relationships/hyperlink" Target="https://www.inrs.fr/publications/bdd/fichetox/fiche.html?refINRS=FICHETOX_330&amp;section=incendieExplosion" TargetMode="External"/><Relationship Id="rId46" Type="http://schemas.openxmlformats.org/officeDocument/2006/relationships/hyperlink" Target="https://www.inrs.fr/publications/bdd/fichetox/fiche.html?refINRS=FICHETOX_330&amp;section=pathologieToxicologie" TargetMode="External"/><Relationship Id="rId48" Type="http://schemas.openxmlformats.org/officeDocument/2006/relationships/hyperlink" Target="https://www.inrs.fr/publications/bdd/fichetox/fiche.html?refINRS=FICHETOX_330&amp;section=recommandations" TargetMode="External"/><Relationship Id="rId47" Type="http://schemas.openxmlformats.org/officeDocument/2006/relationships/hyperlink" Target="https://www.inrs.fr/publications/bdd/fichetox/fiche.html?refINRS=FICHETOX_330&amp;section=reglement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2026-04-01T16:01:00Z</dcterms:created>
  <dcterms:modified xsi:type="dcterms:W3CDTF">2026-04-01T16:01:00Z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