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certifiednchbelgium-cersol01rosieresok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certifiednchbelgium-cersol01rosieresok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0" w:name="Xfa0c8fd69a48f6758294d9fd428be2766b0fb2c"/>
    <w:p>
      <w:pPr>
        <w:pStyle w:val="Heading1"/>
      </w:pPr>
      <w:r>
        <w:t xml:space="preserve">Analyse des dangers : certifiednchbelgium-cersol01rosieresok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certifiednchbelgium-cersol01rosieresok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Belgium Inc.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Grave pour la santé" title="" id="31" name="Picture"/>
            <a:graphic>
              <a:graphicData uri="http://schemas.openxmlformats.org/drawingml/2006/picture">
                <pic:pic>
                  <pic:nvPicPr>
                    <pic:cNvPr descr="templates/SGH08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et abondamment la zone touchée avec de l’eau et du savon.</w:t>
      </w:r>
      <w:r>
        <w:t xml:space="preserve"> </w:t>
      </w:r>
      <w:r>
        <w:t xml:space="preserve">Enlever les vêtements et chaussures contaminés.</w:t>
      </w:r>
      <w:r>
        <w:t xml:space="preserve"> </w:t>
      </w:r>
      <w:r>
        <w:t xml:space="preserve">En cas d’irritation persistante, demander une assistance médicale.</w:t>
      </w:r>
    </w:p>
    <w:p>
      <w:pPr>
        <w:pStyle w:val="BodyText"/>
      </w:pPr>
      <w:r>
        <w:t xml:space="preserve">eyes : Rincer immédiatement les yeux avec beaucoup d’eau pendant au moins 15 minutes.</w:t>
      </w:r>
      <w:r>
        <w:t xml:space="preserve"> </w:t>
      </w:r>
      <w:r>
        <w:t xml:space="preserve">Appeler immédiatement un médecin.</w:t>
      </w:r>
    </w:p>
    <w:p>
      <w:pPr>
        <w:pStyle w:val="BodyText"/>
      </w:pPr>
      <w:r>
        <w:t xml:space="preserve">ingestion : Rincer la bouche à l’eau.</w:t>
      </w:r>
      <w:r>
        <w:t xml:space="preserve"> </w:t>
      </w:r>
      <w:r>
        <w:t xml:space="preserve">Ne pas provoquer le vomissement.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inhalation : Éloigner la personne vers un endroit aéré.</w:t>
      </w:r>
      <w:r>
        <w:t xml:space="preserve"> </w:t>
      </w:r>
      <w:r>
        <w:t xml:space="preserve">Si la respiration est perturbée, l’amener à l’air libre.</w:t>
      </w:r>
      <w:r>
        <w:t xml:space="preserve"> </w:t>
      </w:r>
      <w:r>
        <w:t xml:space="preserve">En cas de persistance des troubles respiratoires, consulter un médecin.</w:t>
      </w:r>
    </w:p>
    <w:p>
      <w:r>
        <w:br w:type="page"/>
      </w:r>
    </w:p>
    <w:bookmarkEnd w:id="34"/>
    <w:bookmarkStart w:id="3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0f040da7112a6970faa6b6eabe4560506f49883"/>
    <w:p>
      <w:pPr>
        <w:pStyle w:val="Heading3"/>
      </w:pPr>
      <w:r>
        <w:t xml:space="preserve">ISOPARAFFINIC HYDROCARBON (ISOALKANES C11-14 INCI)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90622-58-5</w:t>
      </w:r>
    </w:p>
    <w:p>
      <w:pPr>
        <w:pStyle w:val="Compact"/>
        <w:numPr>
          <w:ilvl w:val="0"/>
          <w:numId w:val="1005"/>
        </w:numPr>
      </w:pPr>
      <w:r>
        <w:t xml:space="preserve">N° EINECS : 292-460-6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50.0 to 100.0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End w:id="37"/>
    <w:bookmarkStart w:id="3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conformes à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Type de gants suggérés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Gants résistants aux solvants (caoutchouc butyle).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Caoutchouc fluoré.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Alcool de polyvinyle.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passage minimal de la matière constitutive du gant : &gt; 120 min (niveau de performance 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La durabilité et la résistance à la température dépendent de la fréquence, durée de contact, température et agents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Lunettes de sécurité conformes à EN 166.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À porter si la méthode d’utilisation peut entraîner un contact oculaire.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conformes à la norme EN 374.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Type de gants suggérés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Gants résistants aux solvants (caoutchouc butyle).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Caoutchouc fluoré.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Alcool de polyvinyle.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Temps de passage minimal de la matière constitutive du gant : &gt; 120 min (niveau de performance 4).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La durabilité et la résistance à la température dépendent de la fréquence, durée de contact, température et agents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 équipement de protection respiratoire conforme à EN 141 (vapeurs organiques).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À porter lorsque la ventilation locale est insuffisante.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 vêtement ou combinaison spécifique n’est indiqué dans la section 8.</w:t>
            </w:r>
          </w:p>
        </w:tc>
      </w:tr>
    </w:tbl>
    <w:bookmarkEnd w:id="38"/>
    <w:bookmarkStart w:id="3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de respirer les vapeurs ou le brouillard. - Ne pas manger, boire ou fumer en manipulant ce produit. - Tenir à l’abri des flammes nues, des surfaces chaudes et des sources d’inflammation. - Éviter l’accumulation de charges électrostatiques. - Ne jamais siphonner avec la bouche. - Assurer une ventilation adéquate. - Utiliser un confinement secondaire (planchers/surfaces étanches) pour contenir les déversements.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 Tenir à l’écart de la chaleur et des sources d’ignition. Stocker conformément à la réglementation locale.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Dégraissant solvanté</w:t>
            </w:r>
          </w:p>
        </w:tc>
      </w:tr>
    </w:tbl>
    <w:bookmarkEnd w:id="39"/>
    <w:bookmarkEnd w:id="4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2026-04-01T16:02:54Z</dcterms:created>
  <dcterms:modified xsi:type="dcterms:W3CDTF">2026-04-01T16:02:54Z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