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certifiednchbelgium-nm50tubok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certifiednchbelgium-nm50tubok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4" w:name="Xb95656f270be8fa64b5cbfdbdccdace7395656c"/>
    <w:p>
      <w:pPr>
        <w:pStyle w:val="Heading1"/>
      </w:pPr>
      <w:r>
        <w:t xml:space="preserve">Analyse des dangers : certifiednchbelgium-nm50tubok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certifiednchbelgium-nm50tubok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bien que l’aspect soit décrit comme « poudre », le produit est présenté sous forme 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et détartrant acide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2017-05-30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2017-05-30.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P363</w:t>
      </w:r>
      <w:r>
        <w:t xml:space="preserve"> </w:t>
      </w:r>
      <w:r>
        <w:t xml:space="preserve">Laver les vêtements contaminés avant réutilisation.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8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8</w:t>
      </w:r>
    </w:p>
    <w:p>
      <w:pPr>
        <w:pStyle w:val="Compact"/>
        <w:numPr>
          <w:ilvl w:val="0"/>
          <w:numId w:val="1005"/>
        </w:numPr>
      </w:pPr>
      <w:r>
        <w:t xml:space="preserve">IATA : 8</w:t>
      </w:r>
    </w:p>
    <w:p>
      <w:pPr>
        <w:pStyle w:val="Compact"/>
        <w:numPr>
          <w:ilvl w:val="0"/>
          <w:numId w:val="1005"/>
        </w:numPr>
      </w:pPr>
      <w:r>
        <w:t xml:space="preserve">UN : 1789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les vêtements contaminés.</w:t>
      </w:r>
      <w:r>
        <w:t xml:space="preserve"> </w:t>
      </w:r>
      <w:r>
        <w:t xml:space="preserve">Laver abondamment à l’eau pendant au moins 15 minutes.</w:t>
      </w:r>
      <w:r>
        <w:t xml:space="preserve"> </w:t>
      </w:r>
      <w:r>
        <w:t xml:space="preserve">Faire immédiatement appel à une assistance médicale.</w:t>
      </w:r>
    </w:p>
    <w:p>
      <w:pPr>
        <w:pStyle w:val="BodyText"/>
      </w:pPr>
      <w:r>
        <w:t xml:space="preserve">eyes : Rincer immédiatement avec beaucoup d’eau pendant au moins 15 minutes.</w:t>
      </w:r>
      <w:r>
        <w:t xml:space="preserve"> </w:t>
      </w:r>
      <w:r>
        <w:t xml:space="preserve">Faire appel à une assistance médicale si une irritation persiste.</w:t>
      </w:r>
    </w:p>
    <w:p>
      <w:pPr>
        <w:pStyle w:val="BodyText"/>
      </w:pPr>
      <w:r>
        <w:t xml:space="preserve">ingestion : Boire 1 ou 2 verres d’eau.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Faire immédiatement appel à une assistance médicale.</w:t>
      </w:r>
      <w:r>
        <w:t xml:space="preserve"> </w:t>
      </w:r>
      <w:r>
        <w:t xml:space="preserve">Montrer l’étiquette au médecin.</w:t>
      </w:r>
    </w:p>
    <w:p>
      <w:pPr>
        <w:pStyle w:val="BodyText"/>
      </w:pPr>
      <w:r>
        <w:t xml:space="preserve">inhalation : Amener la victime à l’air libre.</w:t>
      </w:r>
      <w:r>
        <w:t xml:space="preserve"> </w:t>
      </w:r>
      <w:r>
        <w:t xml:space="preserve">En cas d’arrêt respiratoire, pratiquer la respiration artificielle.</w:t>
      </w:r>
      <w:r>
        <w:t xml:space="preserve"> </w:t>
      </w:r>
      <w:r>
        <w:t xml:space="preserve">En cas d’exposition à de fortes concentrations de vapeur ou brouillard, aller immédiatement à l’air libre.</w:t>
      </w:r>
    </w:p>
    <w:p>
      <w:r>
        <w:br w:type="page"/>
      </w:r>
    </w:p>
    <w:bookmarkEnd w:id="37"/>
    <w:bookmarkStart w:id="5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hydrochloric-acid"/>
    <w:p>
      <w:pPr>
        <w:pStyle w:val="Heading3"/>
      </w:pPr>
      <w:r>
        <w:t xml:space="preserve">Hydrochloric Acid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7647-01-0</w:t>
      </w:r>
    </w:p>
    <w:p>
      <w:pPr>
        <w:pStyle w:val="Compact"/>
        <w:numPr>
          <w:ilvl w:val="0"/>
          <w:numId w:val="1006"/>
        </w:numPr>
      </w:pPr>
      <w:r>
        <w:t xml:space="preserve">N° EINECS : 231-595-7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5.0 - VLE-8h (mg/m³) : 8.0 - VLE-15min (ppm) : 10.0 - VLE-15min (mg/m³) : 15.0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n°13 - Chlorure d’hydrogène (ou acide chlorhydrique) et solutions aqueuses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Explosion[34-36]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0" w:name="Xc518748fee11708174d8ffc50c83e1aa376064e"/>
    <w:p>
      <w:pPr>
        <w:pStyle w:val="Heading3"/>
      </w:pPr>
      <w:r>
        <w:t xml:space="preserve">Aliphatic Alcohol, C13-15 Largely Linear, Ethoxylated Polymer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157627-86-6</w:t>
      </w:r>
    </w:p>
    <w:p>
      <w:pPr>
        <w:pStyle w:val="Compact"/>
        <w:numPr>
          <w:ilvl w:val="0"/>
          <w:numId w:val="1009"/>
        </w:numPr>
      </w:pPr>
      <w:r>
        <w:t xml:space="preserve">N° EINECS : 500-337-8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0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9"/>
    <w:bookmarkEnd w:id="50"/>
    <w:bookmarkEnd w:id="51"/>
    <w:bookmarkStart w:id="5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Conformité : norme EN 374.</w:t>
            </w:r>
            <w:r>
              <w:rPr>
                <w:sz w:val="20"/>
                <w:szCs w:val="20"/>
              </w:rPr>
              <w:t xml:space="preserve">• Matériaux suggérés 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Caoutchouc nitrile (épaisseur 0,4 mm) pour contacts occasionnels ou éclaboussures.</w:t>
            </w:r>
            <w:r>
              <w:rPr>
                <w:sz w:val="20"/>
                <w:szCs w:val="20"/>
              </w:rPr>
              <w:t xml:space="preserve"> – Caoutchouc butyle (résistant aux solvants).</w:t>
            </w:r>
            <w:r>
              <w:rPr>
                <w:sz w:val="20"/>
                <w:szCs w:val="20"/>
              </w:rPr>
              <w:t xml:space="preserve"> – Caoutchouc fluoré.</w:t>
            </w:r>
            <w:r>
              <w:rPr>
                <w:sz w:val="20"/>
                <w:szCs w:val="20"/>
              </w:rPr>
              <w:t xml:space="preserve">• Temps de pénétration minimal : niveau de performance 6, &gt; 480 min.</w:t>
            </w:r>
            <w:r>
              <w:rPr>
                <w:sz w:val="20"/>
                <w:szCs w:val="20"/>
              </w:rPr>
              <w:t xml:space="preserve">• Utilisation : courte durée, contacts occasionnels ou éclaboussures.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sécurité avec protections latérales.</w:t>
            </w:r>
            <w:r>
              <w:rPr>
                <w:sz w:val="20"/>
                <w:szCs w:val="20"/>
              </w:rPr>
              <w:t xml:space="preserve">• Conformité : EN 166.</w:t>
            </w:r>
            <w:r>
              <w:rPr>
                <w:sz w:val="20"/>
                <w:szCs w:val="20"/>
              </w:rPr>
              <w:t xml:space="preserve">• Pour volumes importants : écran facial (visière) à utiliser.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Conformité : norme EN 374.</w:t>
            </w:r>
            <w:r>
              <w:rPr>
                <w:sz w:val="20"/>
                <w:szCs w:val="20"/>
              </w:rPr>
              <w:t xml:space="preserve">• Matériaux suggérés 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Caoutchouc nitrile (épaisseur 0,4 mm) pour contacts occasionnels ou éclaboussures.</w:t>
            </w:r>
            <w:r>
              <w:rPr>
                <w:sz w:val="20"/>
                <w:szCs w:val="20"/>
              </w:rPr>
              <w:t xml:space="preserve"> – Caoutchouc butyle (résistant aux solvants).</w:t>
            </w:r>
            <w:r>
              <w:rPr>
                <w:sz w:val="20"/>
                <w:szCs w:val="20"/>
              </w:rPr>
              <w:t xml:space="preserve"> – Caoutchouc fluoré.</w:t>
            </w:r>
            <w:r>
              <w:rPr>
                <w:sz w:val="20"/>
                <w:szCs w:val="20"/>
              </w:rPr>
              <w:t xml:space="preserve">• Temps de pénétration minimal : niveau de performance 6, &gt; 480 min.</w:t>
            </w:r>
            <w:r>
              <w:rPr>
                <w:sz w:val="20"/>
                <w:szCs w:val="20"/>
              </w:rPr>
              <w:t xml:space="preserve">• Utilisation : courte durée, contacts occasionnels ou éclaboussures.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Masques ou respirateurs individuels conformes à EN 14387 – filtre de type ABEK.</w:t>
            </w:r>
            <w:r>
              <w:rPr>
                <w:sz w:val="20"/>
                <w:szCs w:val="20"/>
              </w:rPr>
              <w:t xml:space="preserve">• En cas d’exposition à brouillards, projections ou aérosols : porter une protection respiratoire individuelle et une combinaison de protection appropriée.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et du corps • Choix de vêtements de protection basé sur le niveau d’activité et d’exposition 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Chaussures ou bottes adaptées.</w:t>
            </w:r>
            <w:r>
              <w:rPr>
                <w:sz w:val="20"/>
                <w:szCs w:val="20"/>
              </w:rPr>
              <w:t xml:space="preserve"> – Tablier à manches longues.</w:t>
            </w:r>
            <w:r>
              <w:rPr>
                <w:sz w:val="20"/>
                <w:szCs w:val="20"/>
              </w:rPr>
              <w:t xml:space="preserve"> – Combinaison imperméable.</w:t>
            </w:r>
          </w:p>
        </w:tc>
      </w:tr>
    </w:tbl>
    <w:bookmarkEnd w:id="52"/>
    <w:bookmarkStart w:id="5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Éviter le contact avec la peau, les yeux et les vêtements. - Éviter de respirer les vapeurs ou le brouillard. - Ne pas manger, boire ou fumer en manipulant ce produit. - Formation à son utilisation est recommandée en raison de la nature dangereuse du produit. - 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 : - Conserver le produit dans son conteneur original. - Garder les récipients bien fermés. - Stocker dans un endroit sec, frais et bien ventilé. Incompatibilités : - Bases fortes - Oxydants - Agents réducteurs - Agents de blanchiment chlorés - Certains métaux (ex. aluminium, zinc) qui peuvent libérer de l’hydrogène en contact avec le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et détartrant acide</w:t>
            </w:r>
          </w:p>
        </w:tc>
      </w:tr>
    </w:tbl>
    <w:bookmarkEnd w:id="53"/>
    <w:bookmarkEnd w:id="5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13" TargetMode="External"/><Relationship Id="rId41" Type="http://schemas.openxmlformats.org/officeDocument/2006/relationships/hyperlink" Target="https://www.inrs.fr/publications/bdd/fichetox/fiche.html?refINRS=FICHETOX_13&amp;section=VLEPMesurage" TargetMode="External"/><Relationship Id="rId46" Type="http://schemas.openxmlformats.org/officeDocument/2006/relationships/hyperlink" Target="https://www.inrs.fr/publications/bdd/fichetox/fiche.html?refINRS=FICHETOX_13&amp;section=bibliographieAuteurs" TargetMode="External"/><Relationship Id="rId40" Type="http://schemas.openxmlformats.org/officeDocument/2006/relationships/hyperlink" Target="https://www.inrs.fr/publications/bdd/fichetox/fiche.html?refINRS=FICHETOX_13&amp;section=caracteristiques" TargetMode="External"/><Relationship Id="rId39" Type="http://schemas.openxmlformats.org/officeDocument/2006/relationships/hyperlink" Target="https://www.inrs.fr/publications/bdd/fichetox/fiche.html?refINRS=FICHETOX_13&amp;section=generalites" TargetMode="External"/><Relationship Id="rId42" Type="http://schemas.openxmlformats.org/officeDocument/2006/relationships/hyperlink" Target="https://www.inrs.fr/publications/bdd/fichetox/fiche.html?refINRS=FICHETOX_13&amp;section=incendieExplosion" TargetMode="External"/><Relationship Id="rId43" Type="http://schemas.openxmlformats.org/officeDocument/2006/relationships/hyperlink" Target="https://www.inrs.fr/publications/bdd/fichetox/fiche.html?refINRS=FICHETOX_13&amp;section=pathologieToxicologie" TargetMode="External"/><Relationship Id="rId45" Type="http://schemas.openxmlformats.org/officeDocument/2006/relationships/hyperlink" Target="https://www.inrs.fr/publications/bdd/fichetox/fiche.html?refINRS=FICHETOX_13&amp;section=recommandations" TargetMode="External"/><Relationship Id="rId44" Type="http://schemas.openxmlformats.org/officeDocument/2006/relationships/hyperlink" Target="https://www.inrs.fr/publications/bdd/fichetox/fiche.html?refINRS=FICHETOX_13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13" TargetMode="External"/><Relationship Id="rId41" Type="http://schemas.openxmlformats.org/officeDocument/2006/relationships/hyperlink" Target="https://www.inrs.fr/publications/bdd/fichetox/fiche.html?refINRS=FICHETOX_13&amp;section=VLEPMesurage" TargetMode="External"/><Relationship Id="rId46" Type="http://schemas.openxmlformats.org/officeDocument/2006/relationships/hyperlink" Target="https://www.inrs.fr/publications/bdd/fichetox/fiche.html?refINRS=FICHETOX_13&amp;section=bibliographieAuteurs" TargetMode="External"/><Relationship Id="rId40" Type="http://schemas.openxmlformats.org/officeDocument/2006/relationships/hyperlink" Target="https://www.inrs.fr/publications/bdd/fichetox/fiche.html?refINRS=FICHETOX_13&amp;section=caracteristiques" TargetMode="External"/><Relationship Id="rId39" Type="http://schemas.openxmlformats.org/officeDocument/2006/relationships/hyperlink" Target="https://www.inrs.fr/publications/bdd/fichetox/fiche.html?refINRS=FICHETOX_13&amp;section=generalites" TargetMode="External"/><Relationship Id="rId42" Type="http://schemas.openxmlformats.org/officeDocument/2006/relationships/hyperlink" Target="https://www.inrs.fr/publications/bdd/fichetox/fiche.html?refINRS=FICHETOX_13&amp;section=incendieExplosion" TargetMode="External"/><Relationship Id="rId43" Type="http://schemas.openxmlformats.org/officeDocument/2006/relationships/hyperlink" Target="https://www.inrs.fr/publications/bdd/fichetox/fiche.html?refINRS=FICHETOX_13&amp;section=pathologieToxicologie" TargetMode="External"/><Relationship Id="rId45" Type="http://schemas.openxmlformats.org/officeDocument/2006/relationships/hyperlink" Target="https://www.inrs.fr/publications/bdd/fichetox/fiche.html?refINRS=FICHETOX_13&amp;section=recommandations" TargetMode="External"/><Relationship Id="rId44" Type="http://schemas.openxmlformats.org/officeDocument/2006/relationships/hyperlink" Target="https://www.inrs.fr/publications/bdd/fichetox/fiche.html?refINRS=FICHETOX_13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2026-04-01T16:09:54Z</dcterms:created>
  <dcterms:modified xsi:type="dcterms:W3CDTF">2026-04-01T16:09:54Z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