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coldcleanerbwok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WOLF OIL CORPORATION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coldcleanerbwok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9" w:name="analyse-des-dangers-coldcleanerbwok"/>
    <w:p>
      <w:pPr>
        <w:pStyle w:val="Heading1"/>
      </w:pPr>
      <w:r>
        <w:t xml:space="preserve">Analyse des dangers : coldcleanerbwok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coldcleanerbwok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WOLF OIL CORPORATION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huileux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industrielle, utilisation professionnelle et utilisation par le consommateur ; usage non dispersif, dans un système fermé, en tant qu’agent détergent/lavant et additif.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2015-11-09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2015-11-09.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Grave pour la santé" title="" id="31" name="Picture"/>
            <a:graphic>
              <a:graphicData uri="http://schemas.openxmlformats.org/drawingml/2006/picture">
                <pic:pic>
                  <pic:nvPicPr>
                    <pic:cNvPr descr="templates/SGH08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EUH066</w:t>
      </w:r>
      <w:r>
        <w:t xml:space="preserve"> </w:t>
      </w:r>
      <w:r>
        <w:t xml:space="preserve">L’exposition répétée peut provoquer dessèchement ou gerçures de la peau.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les vêtements souillés.</w:t>
      </w:r>
      <w:r>
        <w:t xml:space="preserve"> </w:t>
      </w:r>
      <w:r>
        <w:t xml:space="preserve">Laver la peau avec de l’eau savonneuse.</w:t>
      </w:r>
    </w:p>
    <w:p>
      <w:pPr>
        <w:pStyle w:val="BodyText"/>
      </w:pPr>
      <w:r>
        <w:t xml:space="preserve">eyes : Rincer immédiatement à l’eau claire pendant 10‑15 minutes.</w:t>
      </w:r>
      <w:r>
        <w:t xml:space="preserve"> </w:t>
      </w:r>
      <w:r>
        <w:t xml:space="preserve">Éliminer les verres de contact.</w:t>
      </w:r>
      <w:r>
        <w:t xml:space="preserve"> </w:t>
      </w:r>
      <w:r>
        <w:t xml:space="preserve">Consulter un médecin si l’irritation persiste.</w:t>
      </w:r>
    </w:p>
    <w:p>
      <w:pPr>
        <w:pStyle w:val="BodyText"/>
      </w:pPr>
      <w:r>
        <w:t xml:space="preserve">ingestion : Ne pas faire vomir.</w:t>
      </w:r>
      <w:r>
        <w:t xml:space="preserve"> </w:t>
      </w:r>
      <w:r>
        <w:t xml:space="preserve">Rincer la bouche.</w:t>
      </w:r>
      <w:r>
        <w:t xml:space="preserve"> </w:t>
      </w:r>
      <w:r>
        <w:t xml:space="preserve">Consulter immédiatement un médecin.</w:t>
      </w:r>
    </w:p>
    <w:p>
      <w:pPr>
        <w:pStyle w:val="BodyText"/>
      </w:pPr>
      <w:r>
        <w:t xml:space="preserve">inhalation : Mettre la victime en position demi‑assise.</w:t>
      </w:r>
      <w:r>
        <w:t xml:space="preserve"> </w:t>
      </w:r>
      <w:r>
        <w:t xml:space="preserve">Faire respirer de l’air frais.</w:t>
      </w:r>
      <w:r>
        <w:t xml:space="preserve"> </w:t>
      </w:r>
      <w:r>
        <w:t xml:space="preserve">En cas d’arrêt respiratoire, pratiquer la respiration artificielle.</w:t>
      </w:r>
      <w:r>
        <w:t xml:space="preserve"> </w:t>
      </w:r>
      <w:r>
        <w:t xml:space="preserve">Consulter immédiatement un médecin.</w:t>
      </w:r>
    </w:p>
    <w:p>
      <w:r>
        <w:br w:type="page"/>
      </w:r>
    </w:p>
    <w:bookmarkEnd w:id="34"/>
    <w:bookmarkStart w:id="4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X78c444b4914a3cea3a9f7b6243f6445895899a1"/>
    <w:p>
      <w:pPr>
        <w:pStyle w:val="Heading3"/>
      </w:pPr>
      <w:r>
        <w:t xml:space="preserve">Hydrocarbures, C10-C13, n-alcanes, iso-alcanes, cycliques, &lt;2% aromatiques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64742-48-9</w:t>
      </w:r>
    </w:p>
    <w:p>
      <w:pPr>
        <w:pStyle w:val="Compact"/>
        <w:numPr>
          <w:ilvl w:val="0"/>
          <w:numId w:val="1005"/>
        </w:numPr>
      </w:pPr>
      <w:r>
        <w:t xml:space="preserve">N° EINECS : 918-481-9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75.0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n°325 - Solvants aliphatiques en C9-C20 désaromatisés</w:t>
        </w:r>
      </w:hyperlink>
    </w:p>
    <w:p>
      <w:pPr>
        <w:numPr>
          <w:ilvl w:val="0"/>
          <w:numId w:val="1007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7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7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7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Explosion[12-14]</w:t>
        </w:r>
      </w:hyperlink>
    </w:p>
    <w:p>
      <w:pPr>
        <w:numPr>
          <w:ilvl w:val="0"/>
          <w:numId w:val="1007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7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7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7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End w:id="46"/>
    <w:bookmarkStart w:id="4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nitrile (NBR) • Épaisseur : &gt; 0,35 mm • Temps de perçage : minimum &gt; 480 min d’exposition à long terme (permeation time) Gants en nitrile de 0,35 mm ou plus, capables de résister à une exposition prolongée.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• Pas de spécifications supplémentaires indiquées dans le document. Utiliser des lunettes de protection conformes aux exigences de protection des yeux.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nitrile (NBR) • Épaisseur : &gt; 0,35 mm • Temps de perçage : minimum &gt; 480 min d’exposition à long terme (permeation time) Gants en nitrile de 0,35 mm ou plus, capables de résister à une exposition prolongée.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masque respiratoire ou filtre n’est mentionné comme requis dans la section 8.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Porter un vêtement de protection approprié. • Pas de détails supplémentaires (type, matériau, épaisseur) fournis. Vêtements de protection généraux (ex. combinaison, tablier) à porter pour protéger la peau et le corps.</w:t>
            </w:r>
          </w:p>
        </w:tc>
      </w:tr>
    </w:tbl>
    <w:bookmarkEnd w:id="47"/>
    <w:bookmarkStart w:id="4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toute exposition inutile. - Une ventilation générale et extractive du local est habituellement requise. - Température de manipulation : &lt; 40 °C. - Mesures d’hygiène : se laver les mains et toute autre zone exposée avec un savon doux et de l’eau, avant de manger, de boire, de fumer, et avant de quitter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Température de stockage : &lt; 40 °C. - Lieu de stockage : conserver dans un endroit sec, frais et bien ventilé. - Emballage : les emballages destinés au grand public doivent être pourvus d’une fermeture de sécurité pour les enfants et d’une indication tactile de danger.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industrielle, utilisation professionnelle et utilisation par le consommateur ; usage non dispersif, dans un système fermé, en tant qu’agent détergent/lavant et additif.</w:t>
            </w:r>
          </w:p>
        </w:tc>
      </w:tr>
    </w:tbl>
    <w:bookmarkEnd w:id="48"/>
    <w:bookmarkEnd w:id="4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publications/bdd/fichetox/fiche.html?refINRS=FICHETOX_325" TargetMode="External"/><Relationship Id="rId38" Type="http://schemas.openxmlformats.org/officeDocument/2006/relationships/hyperlink" Target="https://www.inrs.fr/publications/bdd/fichetox/fiche.html?refINRS=FICHETOX_325&amp;section=VLEPMesurage" TargetMode="External"/><Relationship Id="rId43" Type="http://schemas.openxmlformats.org/officeDocument/2006/relationships/hyperlink" Target="https://www.inrs.fr/publications/bdd/fichetox/fiche.html?refINRS=FICHETOX_325&amp;section=bibliographieAuteurs" TargetMode="External"/><Relationship Id="rId37" Type="http://schemas.openxmlformats.org/officeDocument/2006/relationships/hyperlink" Target="https://www.inrs.fr/publications/bdd/fichetox/fiche.html?refINRS=FICHETOX_325&amp;section=caracteristiques" TargetMode="External"/><Relationship Id="rId36" Type="http://schemas.openxmlformats.org/officeDocument/2006/relationships/hyperlink" Target="https://www.inrs.fr/publications/bdd/fichetox/fiche.html?refINRS=FICHETOX_325&amp;section=generalites" TargetMode="External"/><Relationship Id="rId39" Type="http://schemas.openxmlformats.org/officeDocument/2006/relationships/hyperlink" Target="https://www.inrs.fr/publications/bdd/fichetox/fiche.html?refINRS=FICHETOX_325&amp;section=incendieExplosion" TargetMode="External"/><Relationship Id="rId40" Type="http://schemas.openxmlformats.org/officeDocument/2006/relationships/hyperlink" Target="https://www.inrs.fr/publications/bdd/fichetox/fiche.html?refINRS=FICHETOX_325&amp;section=pathologieToxicologie" TargetMode="External"/><Relationship Id="rId42" Type="http://schemas.openxmlformats.org/officeDocument/2006/relationships/hyperlink" Target="https://www.inrs.fr/publications/bdd/fichetox/fiche.html?refINRS=FICHETOX_325&amp;section=recommandations" TargetMode="External"/><Relationship Id="rId41" Type="http://schemas.openxmlformats.org/officeDocument/2006/relationships/hyperlink" Target="https://www.inrs.fr/publications/bdd/fichetox/fiche.html?refINRS=FICHETOX_325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publications/bdd/fichetox/fiche.html?refINRS=FICHETOX_325" TargetMode="External"/><Relationship Id="rId38" Type="http://schemas.openxmlformats.org/officeDocument/2006/relationships/hyperlink" Target="https://www.inrs.fr/publications/bdd/fichetox/fiche.html?refINRS=FICHETOX_325&amp;section=VLEPMesurage" TargetMode="External"/><Relationship Id="rId43" Type="http://schemas.openxmlformats.org/officeDocument/2006/relationships/hyperlink" Target="https://www.inrs.fr/publications/bdd/fichetox/fiche.html?refINRS=FICHETOX_325&amp;section=bibliographieAuteurs" TargetMode="External"/><Relationship Id="rId37" Type="http://schemas.openxmlformats.org/officeDocument/2006/relationships/hyperlink" Target="https://www.inrs.fr/publications/bdd/fichetox/fiche.html?refINRS=FICHETOX_325&amp;section=caracteristiques" TargetMode="External"/><Relationship Id="rId36" Type="http://schemas.openxmlformats.org/officeDocument/2006/relationships/hyperlink" Target="https://www.inrs.fr/publications/bdd/fichetox/fiche.html?refINRS=FICHETOX_325&amp;section=generalites" TargetMode="External"/><Relationship Id="rId39" Type="http://schemas.openxmlformats.org/officeDocument/2006/relationships/hyperlink" Target="https://www.inrs.fr/publications/bdd/fichetox/fiche.html?refINRS=FICHETOX_325&amp;section=incendieExplosion" TargetMode="External"/><Relationship Id="rId40" Type="http://schemas.openxmlformats.org/officeDocument/2006/relationships/hyperlink" Target="https://www.inrs.fr/publications/bdd/fichetox/fiche.html?refINRS=FICHETOX_325&amp;section=pathologieToxicologie" TargetMode="External"/><Relationship Id="rId42" Type="http://schemas.openxmlformats.org/officeDocument/2006/relationships/hyperlink" Target="https://www.inrs.fr/publications/bdd/fichetox/fiche.html?refINRS=FICHETOX_325&amp;section=recommandations" TargetMode="External"/><Relationship Id="rId41" Type="http://schemas.openxmlformats.org/officeDocument/2006/relationships/hyperlink" Target="https://www.inrs.fr/publications/bdd/fichetox/fiche.html?refINRS=FICHETOX_325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2026-04-01T16:28:03Z</dcterms:created>
  <dcterms:modified xsi:type="dcterms:W3CDTF">2026-04-01T16:28:03Z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