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controlbloc-fr2018fs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Belgagri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controlbloc-fr2018fs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0" w:name="analyse-des-dangers-controlbloc-fr2018fs"/>
    <w:p>
      <w:pPr>
        <w:pStyle w:val="Heading1"/>
      </w:pPr>
      <w:r>
        <w:t xml:space="preserve">Analyse des dangers : controlbloc-fr2018fs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controlbloc-fr2018fs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Belgagri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solide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professionnelle comme rodenticide (pesticide à usage non agricole)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2018-05-23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2018-05-23. Elle a donc 7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Grave pour la santé" title="" id="31" name="Picture"/>
            <a:graphic>
              <a:graphicData uri="http://schemas.openxmlformats.org/drawingml/2006/picture">
                <pic:pic>
                  <pic:nvPicPr>
                    <pic:cNvPr descr="templates/SGH08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Grave pour la santé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H360D</w:t>
      </w:r>
      <w:r>
        <w:t xml:space="preserve"> </w:t>
      </w:r>
      <w:r>
        <w:t xml:space="preserve">Peut nuire à la fertilité ou au fœtus.</w:t>
      </w:r>
    </w:p>
    <w:p>
      <w:pPr>
        <w:numPr>
          <w:ilvl w:val="0"/>
          <w:numId w:val="1003"/>
        </w:numPr>
      </w:pPr>
      <w:r>
        <w:t xml:space="preserve">H372</w:t>
      </w:r>
      <w:r>
        <w:t xml:space="preserve"> </w:t>
      </w:r>
      <w:r>
        <w:t xml:space="preserve">Risque avéré d’effets graves pour les organes à la suite d’expositions répétées ou d’une exposition prolongée.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P201</w:t>
      </w:r>
      <w:r>
        <w:t xml:space="preserve"> </w:t>
      </w:r>
      <w:r>
        <w:t xml:space="preserve">Se procurer les instructions avant utilisation.</w:t>
      </w:r>
    </w:p>
    <w:p>
      <w:pPr>
        <w:numPr>
          <w:ilvl w:val="0"/>
          <w:numId w:val="1004"/>
        </w:numPr>
      </w:pPr>
      <w:r>
        <w:t xml:space="preserve">P202</w:t>
      </w:r>
      <w:r>
        <w:t xml:space="preserve"> </w:t>
      </w:r>
      <w:r>
        <w:t xml:space="preserve">Ne pas manipuler avant d’avoir lu et compris toutes les précautions de sécurité.</w:t>
      </w:r>
    </w:p>
    <w:p>
      <w:pPr>
        <w:numPr>
          <w:ilvl w:val="0"/>
          <w:numId w:val="1004"/>
        </w:numPr>
      </w:pPr>
      <w:r>
        <w:t xml:space="preserve">P264</w:t>
      </w:r>
      <w:r>
        <w:t xml:space="preserve"> </w:t>
      </w:r>
      <w:r>
        <w:t xml:space="preserve">Se laver … soigneusement après manipulation.</w:t>
      </w:r>
    </w:p>
    <w:p>
      <w:pPr>
        <w:numPr>
          <w:ilvl w:val="0"/>
          <w:numId w:val="1004"/>
        </w:numPr>
      </w:pPr>
      <w:r>
        <w:t xml:space="preserve">P270</w:t>
      </w:r>
      <w:r>
        <w:t xml:space="preserve"> </w:t>
      </w:r>
      <w:r>
        <w:t xml:space="preserve">Ne pas manger, boire ou fumer en manipulant ce produit.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P314</w:t>
      </w:r>
      <w:r>
        <w:t xml:space="preserve"> </w:t>
      </w:r>
      <w:r>
        <w:t xml:space="preserve">Consulter un médecin en cas de malaise.</w:t>
      </w:r>
    </w:p>
    <w:p>
      <w:pPr>
        <w:numPr>
          <w:ilvl w:val="0"/>
          <w:numId w:val="1004"/>
        </w:numPr>
      </w:pPr>
      <w:r>
        <w:t xml:space="preserve">P405</w:t>
      </w:r>
      <w:r>
        <w:t xml:space="preserve"> </w:t>
      </w:r>
      <w:r>
        <w:t xml:space="preserve">Garder sous clef.</w:t>
      </w:r>
    </w:p>
    <w:p>
      <w:pPr>
        <w:numPr>
          <w:ilvl w:val="0"/>
          <w:numId w:val="1004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-</w:t>
      </w:r>
    </w:p>
    <w:p>
      <w:pPr>
        <w:pStyle w:val="Compact"/>
        <w:numPr>
          <w:ilvl w:val="0"/>
          <w:numId w:val="1005"/>
        </w:numPr>
      </w:pPr>
      <w:r>
        <w:t xml:space="preserve">RID : -</w:t>
      </w:r>
    </w:p>
    <w:p>
      <w:pPr>
        <w:pStyle w:val="Compact"/>
        <w:numPr>
          <w:ilvl w:val="0"/>
          <w:numId w:val="1005"/>
        </w:numPr>
      </w:pPr>
      <w:r>
        <w:t xml:space="preserve">ADN : -</w:t>
      </w:r>
    </w:p>
    <w:p>
      <w:pPr>
        <w:pStyle w:val="Compact"/>
        <w:numPr>
          <w:ilvl w:val="0"/>
          <w:numId w:val="1005"/>
        </w:numPr>
      </w:pPr>
      <w:r>
        <w:t xml:space="preserve">IMDG : -</w:t>
      </w:r>
    </w:p>
    <w:p>
      <w:pPr>
        <w:pStyle w:val="Compact"/>
        <w:numPr>
          <w:ilvl w:val="0"/>
          <w:numId w:val="1005"/>
        </w:numPr>
      </w:pPr>
      <w:r>
        <w:t xml:space="preserve">IATA : -</w:t>
      </w:r>
    </w:p>
    <w:p>
      <w:pPr>
        <w:pStyle w:val="Compact"/>
        <w:numPr>
          <w:ilvl w:val="0"/>
          <w:numId w:val="1005"/>
        </w:numPr>
      </w:pPr>
      <w:r>
        <w:t xml:space="preserve">UN : -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immédiatement et abondamment avec de l’eau savonneuse.</w:t>
      </w:r>
    </w:p>
    <w:p>
      <w:pPr>
        <w:pStyle w:val="BodyText"/>
      </w:pPr>
      <w:r>
        <w:t xml:space="preserve">eyes : Rincer avec précaution à l’eau pendant plusieurs minutes.</w:t>
      </w:r>
    </w:p>
    <w:p>
      <w:pPr>
        <w:pStyle w:val="BodyText"/>
      </w:pPr>
      <w:r>
        <w:t xml:space="preserve">ingestion : Rincer la bouche à l’eau. Ne jamais administrer quoi‑que‑ce‑soit par la bouche à une personne inconsciente. NE PAS faire vomir. En cas d’ingestion, consulter immédiatement un médecin et lui montrer l’emballage ou l’étiquette.</w:t>
      </w:r>
    </w:p>
    <w:p>
      <w:pPr>
        <w:pStyle w:val="BodyText"/>
      </w:pPr>
      <w:r>
        <w:t xml:space="preserve">inhalation : Non pertinent (aucune mesure spécifique indiquée).</w:t>
      </w:r>
    </w:p>
    <w:p>
      <w:r>
        <w:br w:type="page"/>
      </w:r>
    </w:p>
    <w:bookmarkEnd w:id="34"/>
    <w:bookmarkStart w:id="37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6" w:name="bromadiolone"/>
    <w:p>
      <w:pPr>
        <w:pStyle w:val="Heading3"/>
      </w:pPr>
      <w:r>
        <w:t xml:space="preserve">Bromadiolone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28772-56-7</w:t>
      </w:r>
    </w:p>
    <w:p>
      <w:pPr>
        <w:pStyle w:val="Compact"/>
        <w:numPr>
          <w:ilvl w:val="0"/>
          <w:numId w:val="1006"/>
        </w:numPr>
      </w:pPr>
      <w:r>
        <w:t xml:space="preserve">N° EINECS : 249-205-9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5e-05 to 5e-05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H300</w:t>
      </w:r>
      <w:r>
        <w:t xml:space="preserve"> </w:t>
      </w:r>
      <w:r>
        <w:t xml:space="preserve">Fatal if swallowed.</w:t>
      </w:r>
    </w:p>
    <w:p>
      <w:pPr>
        <w:numPr>
          <w:ilvl w:val="0"/>
          <w:numId w:val="1007"/>
        </w:numPr>
      </w:pPr>
      <w:r>
        <w:t xml:space="preserve">H310</w:t>
      </w:r>
      <w:r>
        <w:t xml:space="preserve"> </w:t>
      </w:r>
      <w:r>
        <w:t xml:space="preserve">Mortel par contact cutané.</w:t>
      </w:r>
    </w:p>
    <w:p>
      <w:pPr>
        <w:numPr>
          <w:ilvl w:val="0"/>
          <w:numId w:val="1007"/>
        </w:numPr>
      </w:pPr>
      <w:r>
        <w:t xml:space="preserve">H330</w:t>
      </w:r>
      <w:r>
        <w:t xml:space="preserve"> </w:t>
      </w:r>
      <w:r>
        <w:t xml:space="preserve">Fatal if inhaled.</w:t>
      </w:r>
    </w:p>
    <w:p>
      <w:pPr>
        <w:numPr>
          <w:ilvl w:val="0"/>
          <w:numId w:val="1007"/>
        </w:numPr>
      </w:pPr>
      <w:r>
        <w:t xml:space="preserve">H360D</w:t>
      </w:r>
      <w:r>
        <w:t xml:space="preserve"> </w:t>
      </w:r>
      <w:r>
        <w:t xml:space="preserve">Peut nuire à la fertilité ou au fœtus.</w:t>
      </w:r>
    </w:p>
    <w:p>
      <w:pPr>
        <w:numPr>
          <w:ilvl w:val="0"/>
          <w:numId w:val="1007"/>
        </w:numPr>
      </w:pPr>
      <w:r>
        <w:t xml:space="preserve">H372</w:t>
      </w:r>
      <w:r>
        <w:t xml:space="preserve"> </w:t>
      </w:r>
      <w:r>
        <w:t xml:space="preserve">Risque avéré d’effets graves pour les organes à la suite d’expositions répétées ou d’une exposition prolongée.</w:t>
      </w:r>
    </w:p>
    <w:p>
      <w:pPr>
        <w:numPr>
          <w:ilvl w:val="0"/>
          <w:numId w:val="1007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07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5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5"/>
    <w:bookmarkEnd w:id="36"/>
    <w:bookmarkEnd w:id="37"/>
    <w:bookmarkStart w:id="38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“</w:t>
            </w:r>
            <w:r>
              <w:rPr>
                <w:sz w:val="20"/>
                <w:szCs w:val="20"/>
              </w:rPr>
              <w:t xml:space="preserve">Portez des gants de protection résistant aux produits chimiques pendant la phase de manipulation du produit (EN 374).</w:t>
            </w:r>
            <w:r>
              <w:rPr>
                <w:sz w:val="20"/>
                <w:szCs w:val="20"/>
              </w:rPr>
              <w:t xml:space="preserve">”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de protection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“</w:t>
            </w:r>
            <w:r>
              <w:rPr>
                <w:sz w:val="20"/>
                <w:szCs w:val="20"/>
              </w:rPr>
              <w:t xml:space="preserve">Lunettes bien ajustables.</w:t>
            </w:r>
            <w:r>
              <w:rPr>
                <w:sz w:val="20"/>
                <w:szCs w:val="20"/>
              </w:rPr>
              <w:t xml:space="preserve">”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respiratoire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“</w:t>
            </w:r>
            <w:r>
              <w:rPr>
                <w:sz w:val="20"/>
                <w:szCs w:val="20"/>
              </w:rPr>
              <w:t xml:space="preserve">[Lorsque la ventilation du local est insuffisante] porter un équipement de protection respiratoire.</w:t>
            </w:r>
            <w:r>
              <w:rPr>
                <w:sz w:val="20"/>
                <w:szCs w:val="20"/>
              </w:rPr>
              <w:t xml:space="preserve">”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(type de masque ou filtre non précisé)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</w:tbl>
    <w:bookmarkEnd w:id="38"/>
    <w:bookmarkStart w:id="39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 : - Assurer une bonne ventilation du poste de travail. - Se procurer les instructions spéciales avant utilisation. - Ne pas manipuler avant d’avoir lu et compris toutes les précautions de sécurité. - Porter un équipement de protection individuel. - Ne pas respirer les poussières/fumées/gaz/brouillards/vapeurs/aérosols. Mesures d’hygiène : - Séparer les vêtements de travail des vêtements de ville. - Les nettoyer séparément. - Ne pas manger, boire ou fumer en manipulant ce produit. - Se laver les mains après toute manipulation.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de stockage : - Conserver le produit dans un endroit sec, frais et bien ventilé. - Maintenir le contenant bien fermé et à l’abri de toute exposition directe au soleil. - Entreposer le produit hors de la portée des enfants, des oiseaux, des animaux domestiques et des animaux d’élevage. - Durée de stockage maximale : 2 années.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professionnelle comme rodenticide (pesticide à usage non agricole)</w:t>
            </w:r>
          </w:p>
        </w:tc>
      </w:tr>
    </w:tbl>
    <w:bookmarkEnd w:id="39"/>
    <w:bookmarkEnd w:id="40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2026-04-01T16:37:42Z</dcterms:created>
  <dcterms:modified xsi:type="dcterms:W3CDTF">2026-04-01T16:37:42Z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