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crystalrince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Greenspeed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crystalrince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5" w:name="analyse-des-dangers-crystalrince"/>
    <w:p>
      <w:pPr>
        <w:pStyle w:val="Heading1"/>
      </w:pPr>
      <w:r>
        <w:t xml:space="preserve">Analyse des dangers : crystalrince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crystalrince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Greenspeed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rinçage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2018-06-01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2018-06-01.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Retirer les vêtements contaminés.</w:t>
      </w:r>
      <w:r>
        <w:t xml:space="preserve"> </w:t>
      </w:r>
      <w:r>
        <w:t xml:space="preserve">Rincer abondamment à l’eau.</w:t>
      </w:r>
      <w:r>
        <w:t xml:space="preserve"> </w:t>
      </w:r>
      <w:r>
        <w:t xml:space="preserve">Consulter un médecin si nécessaire.</w:t>
      </w:r>
    </w:p>
    <w:p>
      <w:pPr>
        <w:pStyle w:val="BodyText"/>
      </w:pPr>
      <w:r>
        <w:t xml:space="preserve">eyes : Rincer d’abord longuement avec beaucoup d’eau.</w:t>
      </w:r>
      <w:r>
        <w:t xml:space="preserve"> </w:t>
      </w:r>
      <w:r>
        <w:t xml:space="preserve">Enlever les lentilles de contact si cela est possible aisément.</w:t>
      </w:r>
      <w:r>
        <w:t xml:space="preserve"> </w:t>
      </w:r>
      <w:r>
        <w:t xml:space="preserve">Emmener immédiatement chez un médecin.</w:t>
      </w:r>
    </w:p>
    <w:p>
      <w:pPr>
        <w:pStyle w:val="BodyText"/>
      </w:pPr>
      <w:r>
        <w:t xml:space="preserve">ingestion : Laisser rincer la bouche.</w:t>
      </w:r>
      <w:r>
        <w:t xml:space="preserve"> </w:t>
      </w:r>
      <w:r>
        <w:t xml:space="preserve">Ne pas provoquer de vomissements.</w:t>
      </w:r>
      <w:r>
        <w:t xml:space="preserve"> </w:t>
      </w:r>
      <w:r>
        <w:t xml:space="preserve">Emmener immédiatement à l’hôpital.</w:t>
      </w:r>
    </w:p>
    <w:p>
      <w:pPr>
        <w:pStyle w:val="BodyText"/>
      </w:pPr>
      <w:r>
        <w:t xml:space="preserve">inhalation : Faire asseoir la personne en position droite.</w:t>
      </w:r>
      <w:r>
        <w:t xml:space="preserve"> </w:t>
      </w:r>
      <w:r>
        <w:t xml:space="preserve">Apporter de l’air frais.</w:t>
      </w:r>
      <w:r>
        <w:t xml:space="preserve"> </w:t>
      </w:r>
      <w:r>
        <w:t xml:space="preserve">Laisser se reposer.</w:t>
      </w:r>
      <w:r>
        <w:t xml:space="preserve"> </w:t>
      </w:r>
      <w:r>
        <w:t xml:space="preserve">Emmener immédiatement à l’hôpital.</w:t>
      </w:r>
    </w:p>
    <w:p>
      <w:r>
        <w:br w:type="page"/>
      </w:r>
    </w:p>
    <w:bookmarkEnd w:id="34"/>
    <w:bookmarkStart w:id="5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acide-citrique"/>
    <w:p>
      <w:pPr>
        <w:pStyle w:val="Heading3"/>
      </w:pPr>
      <w:r>
        <w:t xml:space="preserve">Acide citrique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77-92-9</w:t>
      </w:r>
    </w:p>
    <w:p>
      <w:pPr>
        <w:pStyle w:val="Compact"/>
        <w:numPr>
          <w:ilvl w:val="0"/>
          <w:numId w:val="1006"/>
        </w:numPr>
      </w:pPr>
      <w:r>
        <w:t xml:space="preserve">N° EINECS : 201-069-1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6.0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X781aa3870e736ca4c761665764cf4bb9302b5cb"/>
    <w:p>
      <w:pPr>
        <w:pStyle w:val="Heading3"/>
      </w:pPr>
      <w:r>
        <w:t xml:space="preserve">Produits de fermentation du glucose et des acides gras insaturés en C18, esters avec le glycérol et de la levure (Candida bombicola), partiellement hydrolysées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None</w:t>
      </w:r>
    </w:p>
    <w:p>
      <w:pPr>
        <w:pStyle w:val="Compact"/>
        <w:numPr>
          <w:ilvl w:val="0"/>
          <w:numId w:val="1008"/>
        </w:numPr>
      </w:pPr>
      <w:r>
        <w:t xml:space="preserve">N° EINECS : 941-809-7,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6.0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9" w:name="éthanol"/>
    <w:p>
      <w:pPr>
        <w:pStyle w:val="Heading3"/>
      </w:pPr>
      <w:r>
        <w:t xml:space="preserve">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64-17-5</w:t>
      </w:r>
    </w:p>
    <w:p>
      <w:pPr>
        <w:pStyle w:val="Compact"/>
        <w:numPr>
          <w:ilvl w:val="0"/>
          <w:numId w:val="1010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8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9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12"/>
        </w:numPr>
      </w:pPr>
      <w:hyperlink r:id="rId4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4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4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43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12"/>
        </w:numPr>
      </w:pPr>
      <w:hyperlink r:id="rId4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4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4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4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8"/>
    <w:bookmarkEnd w:id="49"/>
    <w:bookmarkStart w:id="51" w:name="c8-10-d-glucoside"/>
    <w:p>
      <w:pPr>
        <w:pStyle w:val="Heading3"/>
      </w:pPr>
      <w:r>
        <w:t xml:space="preserve">C8-10 D-glucoside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68515-73-1</w:t>
      </w:r>
    </w:p>
    <w:p>
      <w:pPr>
        <w:pStyle w:val="Compact"/>
        <w:numPr>
          <w:ilvl w:val="0"/>
          <w:numId w:val="1013"/>
        </w:numPr>
      </w:pPr>
      <w:r>
        <w:t xml:space="preserve">N° EINECS : 500-220-1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4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0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0"/>
    <w:bookmarkEnd w:id="51"/>
    <w:bookmarkEnd w:id="52"/>
    <w:bookmarkStart w:id="5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nitrile (norme EN 374) • Épaisseur : 0,35 mm • Temps de rupture : &gt; 480 min (8 h) • Contrôle préalable : vérifier minutieusement l’intégrité des gants avant chaque utilisation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Écran facial ou lunettes de protection bien ajustées • Disponibilité d’un flacon d’eau pour bains oculaires à portée de main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nitrile (norme EN 374) • Épaisseur : 0,35 mm • Temps de rupture : &gt; 480 min (8 h) • Contrôle préalable : vérifier minutieusement l’intégrité des gants avant chaque utilisation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Pas de protection respiratoire obligatoire pour l’exposition normale • En cas d’exposition nocive, utiliser des masques antigaz de type ABEK • À utiliser éventuellement avec une ventilation d’extraction suffisante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imperméables • Le type d’équipement dépend de la concentration et de la quantité de substances dangereuses sur le poste de travail</w:t>
            </w:r>
          </w:p>
        </w:tc>
      </w:tr>
    </w:tbl>
    <w:bookmarkEnd w:id="53"/>
    <w:bookmarkStart w:id="5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 dans une salle fermée et ventilée, à l’abri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rinçage</w:t>
            </w:r>
          </w:p>
        </w:tc>
      </w:tr>
    </w:tbl>
    <w:bookmarkEnd w:id="54"/>
    <w:bookmarkEnd w:id="5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9" Type="http://schemas.openxmlformats.org/officeDocument/2006/relationships/hyperlink" Target="https://www.inrs.fr/publications/bdd/fichetox/fiche.html?refINRS=FICHETOX_48" TargetMode="External"/><Relationship Id="rId42" Type="http://schemas.openxmlformats.org/officeDocument/2006/relationships/hyperlink" Target="https://www.inrs.fr/publications/bdd/fichetox/fiche.html?refINRS=FICHETOX_48&amp;section=VLEPMesurage" TargetMode="External"/><Relationship Id="rId47" Type="http://schemas.openxmlformats.org/officeDocument/2006/relationships/hyperlink" Target="https://www.inrs.fr/publications/bdd/fichetox/fiche.html?refINRS=FICHETOX_48&amp;section=bibliographieAuteurs" TargetMode="External"/><Relationship Id="rId41" Type="http://schemas.openxmlformats.org/officeDocument/2006/relationships/hyperlink" Target="https://www.inrs.fr/publications/bdd/fichetox/fiche.html?refINRS=FICHETOX_48&amp;section=caracteristiques" TargetMode="External"/><Relationship Id="rId40" Type="http://schemas.openxmlformats.org/officeDocument/2006/relationships/hyperlink" Target="https://www.inrs.fr/publications/bdd/fichetox/fiche.html?refINRS=FICHETOX_48&amp;section=generalites" TargetMode="External"/><Relationship Id="rId43" Type="http://schemas.openxmlformats.org/officeDocument/2006/relationships/hyperlink" Target="https://www.inrs.fr/publications/bdd/fichetox/fiche.html?refINRS=FICHETOX_48&amp;section=incendieExplosion" TargetMode="External"/><Relationship Id="rId44" Type="http://schemas.openxmlformats.org/officeDocument/2006/relationships/hyperlink" Target="https://www.inrs.fr/publications/bdd/fichetox/fiche.html?refINRS=FICHETOX_48&amp;section=pathologieToxicologie" TargetMode="External"/><Relationship Id="rId46" Type="http://schemas.openxmlformats.org/officeDocument/2006/relationships/hyperlink" Target="https://www.inrs.fr/publications/bdd/fichetox/fiche.html?refINRS=FICHETOX_48&amp;section=recommandations" TargetMode="External"/><Relationship Id="rId45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9" Type="http://schemas.openxmlformats.org/officeDocument/2006/relationships/hyperlink" Target="https://www.inrs.fr/publications/bdd/fichetox/fiche.html?refINRS=FICHETOX_48" TargetMode="External"/><Relationship Id="rId42" Type="http://schemas.openxmlformats.org/officeDocument/2006/relationships/hyperlink" Target="https://www.inrs.fr/publications/bdd/fichetox/fiche.html?refINRS=FICHETOX_48&amp;section=VLEPMesurage" TargetMode="External"/><Relationship Id="rId47" Type="http://schemas.openxmlformats.org/officeDocument/2006/relationships/hyperlink" Target="https://www.inrs.fr/publications/bdd/fichetox/fiche.html?refINRS=FICHETOX_48&amp;section=bibliographieAuteurs" TargetMode="External"/><Relationship Id="rId41" Type="http://schemas.openxmlformats.org/officeDocument/2006/relationships/hyperlink" Target="https://www.inrs.fr/publications/bdd/fichetox/fiche.html?refINRS=FICHETOX_48&amp;section=caracteristiques" TargetMode="External"/><Relationship Id="rId40" Type="http://schemas.openxmlformats.org/officeDocument/2006/relationships/hyperlink" Target="https://www.inrs.fr/publications/bdd/fichetox/fiche.html?refINRS=FICHETOX_48&amp;section=generalites" TargetMode="External"/><Relationship Id="rId43" Type="http://schemas.openxmlformats.org/officeDocument/2006/relationships/hyperlink" Target="https://www.inrs.fr/publications/bdd/fichetox/fiche.html?refINRS=FICHETOX_48&amp;section=incendieExplosion" TargetMode="External"/><Relationship Id="rId44" Type="http://schemas.openxmlformats.org/officeDocument/2006/relationships/hyperlink" Target="https://www.inrs.fr/publications/bdd/fichetox/fiche.html?refINRS=FICHETOX_48&amp;section=pathologieToxicologie" TargetMode="External"/><Relationship Id="rId46" Type="http://schemas.openxmlformats.org/officeDocument/2006/relationships/hyperlink" Target="https://www.inrs.fr/publications/bdd/fichetox/fiche.html?refINRS=FICHETOX_48&amp;section=recommandations" TargetMode="External"/><Relationship Id="rId45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2026-04-01T16:44:28Z</dcterms:created>
  <dcterms:modified xsi:type="dcterms:W3CDTF">2026-04-01T16:44:28Z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