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desotec-airpel1da-1jodoigneok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desotec-airpel1da-1jodoigneok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e76bc77e8aca8062b4af21ce1748a74a95bd399"/>
    <w:p>
      <w:pPr>
        <w:pStyle w:val="Heading1"/>
      </w:pPr>
      <w:r>
        <w:t xml:space="preserve">Analyse des dangers : desotec-airpel1da-1jodoigneok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desotec-airpel1da-1jodoigneok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2016-10-03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2016-10-03.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1759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</w:t>
      </w:r>
      <w:r>
        <w:t xml:space="preserve"> </w:t>
      </w:r>
      <w:r>
        <w:t xml:space="preserve">• Enlever immédiatement tout vêtement ou chaussure contaminés.</w:t>
      </w:r>
      <w:r>
        <w:t xml:space="preserve"> </w:t>
      </w:r>
      <w:r>
        <w:t xml:space="preserve">• Laver abondamment la zone touchée avec de l’eau savonneuse.</w:t>
      </w:r>
      <w:r>
        <w:t xml:space="preserve"> </w:t>
      </w:r>
      <w:r>
        <w:t xml:space="preserve">• Consulter immédiatement un médecin.</w:t>
      </w:r>
    </w:p>
    <w:p>
      <w:pPr>
        <w:pStyle w:val="BodyText"/>
      </w:pPr>
      <w:r>
        <w:t xml:space="preserve">eyes : Contact avec les yeux</w:t>
      </w:r>
      <w:r>
        <w:t xml:space="preserve"> </w:t>
      </w:r>
      <w:r>
        <w:t xml:space="preserve">• Rincer immédiatement et prolonger le rinçage en maintenant les paupières bien écartées.</w:t>
      </w:r>
      <w:r>
        <w:t xml:space="preserve"> </w:t>
      </w:r>
      <w:r>
        <w:t xml:space="preserve">• Enlever les lentilles de contact si la victime en porte et si elles peuvent être facilement retirées.</w:t>
      </w:r>
      <w:r>
        <w:t xml:space="preserve"> </w:t>
      </w:r>
      <w:r>
        <w:t xml:space="preserve">• Continuer à rincer.</w:t>
      </w:r>
      <w:r>
        <w:t xml:space="preserve"> </w:t>
      </w:r>
      <w:r>
        <w:t xml:space="preserve">• Consulter immédiatement un ophtalmologiste, même en l’absence de signes immédiats.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Ne jamais tenter de faire vomir.</w:t>
      </w:r>
      <w:r>
        <w:t xml:space="preserve"> </w:t>
      </w:r>
      <w:r>
        <w:t xml:space="preserve">• Si la conscience est totale, faire boire beaucoup d’eau.</w:t>
      </w:r>
      <w:r>
        <w:t xml:space="preserve"> </w:t>
      </w:r>
      <w:r>
        <w:t xml:space="preserve">• Ne rien donner à boire à une personne inconsciente.</w:t>
      </w:r>
      <w:r>
        <w:t xml:space="preserve"> </w:t>
      </w:r>
      <w:r>
        <w:t xml:space="preserve">• Appeler immédiatement un médecin.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Retirer la personne de la zone contaminée et l’amener à l’air frais.</w:t>
      </w:r>
      <w:r>
        <w:t xml:space="preserve"> </w:t>
      </w:r>
      <w:r>
        <w:t xml:space="preserve">• En cas d’arrêt respiratoire, pratiquer la respiration artificielle.</w:t>
      </w:r>
      <w:r>
        <w:t xml:space="preserve"> </w:t>
      </w:r>
      <w:r>
        <w:t xml:space="preserve">• Consulter un médecin en cas de malaise.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harbon-actif-squelette-de-haute-densité"/>
    <w:p>
      <w:pPr>
        <w:pStyle w:val="Heading3"/>
      </w:pPr>
      <w:r>
        <w:t xml:space="preserve">Charbon actif, Squelette de Haute densité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7440-44-0</w:t>
      </w:r>
    </w:p>
    <w:p>
      <w:pPr>
        <w:pStyle w:val="Compact"/>
        <w:numPr>
          <w:ilvl w:val="0"/>
          <w:numId w:val="1006"/>
        </w:numPr>
      </w:pPr>
      <w:r>
        <w:t xml:space="preserve">N° EINECS : 921-328-0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acide-sulfurique"/>
    <w:p>
      <w:pPr>
        <w:pStyle w:val="Heading3"/>
      </w:pPr>
      <w:r>
        <w:t xml:space="preserve">acide sulfurique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7664-93-9</w:t>
      </w:r>
    </w:p>
    <w:p>
      <w:pPr>
        <w:pStyle w:val="Compact"/>
        <w:numPr>
          <w:ilvl w:val="0"/>
          <w:numId w:val="1007"/>
        </w:numPr>
      </w:pPr>
      <w:r>
        <w:t xml:space="preserve">N° EINECS : 231-639-5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0.2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n°30 - Acide sulfurique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Gants résistants aux produits chimiques (selon la norme NF EN 374 ou équivalent)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 facial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Écran facial (EN 166)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/ filtre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Masque antipoussières filtre P 2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Utiliser un vêtement de protection chimiquement résistant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Empêcher ou limiter la formation et la dispersion de poussières. - Éviter tout contact direct avec le produit. - Supprimer toute source d’ignition. - Installer des équipements électriques anticorrosion. - Ne pas manger et ne pas boire pendant l’utilisation. - Se laver les mains immédiatement après chaque manipulation du produit, et systématiquement avant de quitter l’atelier.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un endroit sec, frais et bien ventilé. - Conserver le récipient bien fermé. - Conserver à l’abri de la chaleur. - Conserver à l’abri des sources d’ignition. - Conserver à l’écart des matières incompatibles. - Protéger de l’humidité. - Protéger du rayonnement solaire. Matières incompatibles : - Acides forts. - Oxydants puissants. - Bases. - Matières combustibles. - Matières organiques. - Métaux.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publications/bdd/fichetox/fiche.html?refINRS=FICHETOX_30" TargetMode="External"/><Relationship Id="rId40" Type="http://schemas.openxmlformats.org/officeDocument/2006/relationships/hyperlink" Target="https://www.inrs.fr/publications/bdd/fichetox/fiche.html?refINRS=FICHETOX_30&amp;section=VLEPMesurage" TargetMode="External"/><Relationship Id="rId45" Type="http://schemas.openxmlformats.org/officeDocument/2006/relationships/hyperlink" Target="https://www.inrs.fr/publications/bdd/fichetox/fiche.html?refINRS=FICHETOX_30&amp;section=bibliographieAuteurs" TargetMode="External"/><Relationship Id="rId39" Type="http://schemas.openxmlformats.org/officeDocument/2006/relationships/hyperlink" Target="https://www.inrs.fr/publications/bdd/fichetox/fiche.html?refINRS=FICHETOX_30&amp;section=caracteristiques" TargetMode="External"/><Relationship Id="rId38" Type="http://schemas.openxmlformats.org/officeDocument/2006/relationships/hyperlink" Target="https://www.inrs.fr/publications/bdd/fichetox/fiche.html?refINRS=FICHETOX_30&amp;section=generalites" TargetMode="External"/><Relationship Id="rId41" Type="http://schemas.openxmlformats.org/officeDocument/2006/relationships/hyperlink" Target="https://www.inrs.fr/publications/bdd/fichetox/fiche.html?refINRS=FICHETOX_30&amp;section=incendieExplosion" TargetMode="External"/><Relationship Id="rId42" Type="http://schemas.openxmlformats.org/officeDocument/2006/relationships/hyperlink" Target="https://www.inrs.fr/publications/bdd/fichetox/fiche.html?refINRS=FICHETOX_30&amp;section=pathologieToxicologie" TargetMode="External"/><Relationship Id="rId44" Type="http://schemas.openxmlformats.org/officeDocument/2006/relationships/hyperlink" Target="https://www.inrs.fr/publications/bdd/fichetox/fiche.html?refINRS=FICHETOX_30&amp;section=recommandations" TargetMode="External"/><Relationship Id="rId43" Type="http://schemas.openxmlformats.org/officeDocument/2006/relationships/hyperlink" Target="https://www.inrs.fr/publications/bdd/fichetox/fiche.html?refINRS=FICHETOX_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publications/bdd/fichetox/fiche.html?refINRS=FICHETOX_30" TargetMode="External"/><Relationship Id="rId40" Type="http://schemas.openxmlformats.org/officeDocument/2006/relationships/hyperlink" Target="https://www.inrs.fr/publications/bdd/fichetox/fiche.html?refINRS=FICHETOX_30&amp;section=VLEPMesurage" TargetMode="External"/><Relationship Id="rId45" Type="http://schemas.openxmlformats.org/officeDocument/2006/relationships/hyperlink" Target="https://www.inrs.fr/publications/bdd/fichetox/fiche.html?refINRS=FICHETOX_30&amp;section=bibliographieAuteurs" TargetMode="External"/><Relationship Id="rId39" Type="http://schemas.openxmlformats.org/officeDocument/2006/relationships/hyperlink" Target="https://www.inrs.fr/publications/bdd/fichetox/fiche.html?refINRS=FICHETOX_30&amp;section=caracteristiques" TargetMode="External"/><Relationship Id="rId38" Type="http://schemas.openxmlformats.org/officeDocument/2006/relationships/hyperlink" Target="https://www.inrs.fr/publications/bdd/fichetox/fiche.html?refINRS=FICHETOX_30&amp;section=generalites" TargetMode="External"/><Relationship Id="rId41" Type="http://schemas.openxmlformats.org/officeDocument/2006/relationships/hyperlink" Target="https://www.inrs.fr/publications/bdd/fichetox/fiche.html?refINRS=FICHETOX_30&amp;section=incendieExplosion" TargetMode="External"/><Relationship Id="rId42" Type="http://schemas.openxmlformats.org/officeDocument/2006/relationships/hyperlink" Target="https://www.inrs.fr/publications/bdd/fichetox/fiche.html?refINRS=FICHETOX_30&amp;section=pathologieToxicologie" TargetMode="External"/><Relationship Id="rId44" Type="http://schemas.openxmlformats.org/officeDocument/2006/relationships/hyperlink" Target="https://www.inrs.fr/publications/bdd/fichetox/fiche.html?refINRS=FICHETOX_30&amp;section=recommandations" TargetMode="External"/><Relationship Id="rId43" Type="http://schemas.openxmlformats.org/officeDocument/2006/relationships/hyperlink" Target="https://www.inrs.fr/publications/bdd/fichetox/fiche.html?refINRS=FICHETOX_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2026-04-01T16:54:21Z</dcterms:created>
  <dcterms:modified xsi:type="dcterms:W3CDTF">2026-04-01T16:54:21Z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