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desotec-airpel1ds-1jodoignefdsok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DESOTEC 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desotec-airpel1ds-1jodoignefdsok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1" w:name="X8af130fd696fa06ca8545c5683e7ff4beaabc32"/>
    <w:p>
      <w:pPr>
        <w:pStyle w:val="Heading1"/>
      </w:pPr>
      <w:r>
        <w:t xml:space="preserve">Analyse des dangers : desotec-airpel1ds-1jodoignefdsok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desotec-airpel1ds-1jodoignefdsok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DESOTEC N.V.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solide noir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Absorbant pour utilisation industrielle, professionnelle et par le consommateur.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2016-10-03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2016-10-03. Elle a donc 9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-</w:t>
      </w:r>
    </w:p>
    <w:p>
      <w:pPr>
        <w:pStyle w:val="Compact"/>
        <w:numPr>
          <w:ilvl w:val="0"/>
          <w:numId w:val="1004"/>
        </w:numPr>
      </w:pPr>
      <w:r>
        <w:t xml:space="preserve">RID : -</w:t>
      </w:r>
    </w:p>
    <w:p>
      <w:pPr>
        <w:pStyle w:val="Compact"/>
        <w:numPr>
          <w:ilvl w:val="0"/>
          <w:numId w:val="1004"/>
        </w:numPr>
      </w:pPr>
      <w:r>
        <w:t xml:space="preserve">ADN : -</w:t>
      </w:r>
    </w:p>
    <w:p>
      <w:pPr>
        <w:pStyle w:val="Compact"/>
        <w:numPr>
          <w:ilvl w:val="0"/>
          <w:numId w:val="1004"/>
        </w:numPr>
      </w:pPr>
      <w:r>
        <w:t xml:space="preserve">IMDG : -</w:t>
      </w:r>
    </w:p>
    <w:p>
      <w:pPr>
        <w:pStyle w:val="Compact"/>
        <w:numPr>
          <w:ilvl w:val="0"/>
          <w:numId w:val="1004"/>
        </w:numPr>
      </w:pPr>
      <w:r>
        <w:t xml:space="preserve">IATA : -</w:t>
      </w:r>
    </w:p>
    <w:p>
      <w:pPr>
        <w:pStyle w:val="Compact"/>
        <w:numPr>
          <w:ilvl w:val="0"/>
          <w:numId w:val="1004"/>
        </w:numPr>
      </w:pPr>
      <w:r>
        <w:t xml:space="preserve">UN : -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Enlever tout vêtement ou chaussure souillés.</w:t>
      </w:r>
      <w:r>
        <w:t xml:space="preserve"> </w:t>
      </w:r>
      <w:r>
        <w:t xml:space="preserve">Laver abondamment la peau avec de l’eau savonneuse.</w:t>
      </w:r>
      <w:r>
        <w:t xml:space="preserve"> </w:t>
      </w:r>
      <w:r>
        <w:t xml:space="preserve">Consulter un médecin si l’irritation persiste.</w:t>
      </w:r>
    </w:p>
    <w:p>
      <w:pPr>
        <w:pStyle w:val="BodyText"/>
      </w:pPr>
      <w:r>
        <w:t xml:space="preserve">eyes : Rincer immédiatement et prolonger le rinçage en maintenant les paupières bien écartées.</w:t>
      </w:r>
      <w:r>
        <w:t xml:space="preserve"> </w:t>
      </w:r>
      <w:r>
        <w:t xml:space="preserve">Enlever les lentilles de contact si la victime en porte et si elles peuvent être facilement retirées.</w:t>
      </w:r>
      <w:r>
        <w:t xml:space="preserve"> </w:t>
      </w:r>
      <w:r>
        <w:t xml:space="preserve">Continuer à rincer.</w:t>
      </w:r>
      <w:r>
        <w:t xml:space="preserve"> </w:t>
      </w:r>
      <w:r>
        <w:t xml:space="preserve">Consulter un médecin si l’irritation persiste.</w:t>
      </w:r>
    </w:p>
    <w:p>
      <w:pPr>
        <w:pStyle w:val="BodyText"/>
      </w:pPr>
      <w:r>
        <w:t xml:space="preserve">ingestion : Rincer la bouche à l’eau.</w:t>
      </w:r>
      <w:r>
        <w:t xml:space="preserve"> </w:t>
      </w:r>
      <w:r>
        <w:t xml:space="preserve">Faire boire de l’eau.</w:t>
      </w:r>
      <w:r>
        <w:t xml:space="preserve"> </w:t>
      </w:r>
      <w:r>
        <w:t xml:space="preserve">Consulter un médecin en cas de malaise.</w:t>
      </w:r>
    </w:p>
    <w:p>
      <w:pPr>
        <w:pStyle w:val="BodyText"/>
      </w:pPr>
      <w:r>
        <w:t xml:space="preserve">inhalation : Retirer la personne de la zone contaminée et l’amener à l’air frais.</w:t>
      </w:r>
      <w:r>
        <w:t xml:space="preserve"> </w:t>
      </w:r>
      <w:r>
        <w:t xml:space="preserve">Consulter un médecin en cas de malaise.</w:t>
      </w:r>
    </w:p>
    <w:p>
      <w:r>
        <w:br w:type="page"/>
      </w:r>
    </w:p>
    <w:bookmarkEnd w:id="34"/>
    <w:bookmarkStart w:id="48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charbon-actif-squelette-de-haute-densité"/>
    <w:p>
      <w:pPr>
        <w:pStyle w:val="Heading3"/>
      </w:pPr>
      <w:r>
        <w:t xml:space="preserve">Charbon actif, Squelette de Haute densité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7440-44-0</w:t>
      </w:r>
    </w:p>
    <w:p>
      <w:pPr>
        <w:pStyle w:val="Compact"/>
        <w:numPr>
          <w:ilvl w:val="0"/>
          <w:numId w:val="1005"/>
        </w:numPr>
      </w:pPr>
      <w:r>
        <w:t xml:space="preserve">N° EINECS : 921-328-0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:Unbounded range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47" w:name="hydroxyde-de-sodium"/>
    <w:p>
      <w:pPr>
        <w:pStyle w:val="Heading3"/>
      </w:pPr>
      <w:r>
        <w:t xml:space="preserve">Hydroxyde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1310-73-2</w:t>
      </w:r>
    </w:p>
    <w:p>
      <w:pPr>
        <w:pStyle w:val="Compact"/>
        <w:numPr>
          <w:ilvl w:val="0"/>
          <w:numId w:val="1006"/>
        </w:numPr>
      </w:pPr>
      <w:r>
        <w:t xml:space="preserve">N° EINECS : 215-185-5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0.5 to 2.0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H290</w:t>
      </w:r>
      <w:r>
        <w:t xml:space="preserve"> </w:t>
      </w:r>
      <w:r>
        <w:t xml:space="preserve">Peut être corrosif pour les métaux.</w:t>
      </w:r>
    </w:p>
    <w:p>
      <w:pPr>
        <w:numPr>
          <w:ilvl w:val="0"/>
          <w:numId w:val="1007"/>
        </w:numPr>
      </w:pPr>
      <w:r>
        <w:t xml:space="preserve">H314</w:t>
      </w:r>
      <w:r>
        <w:t xml:space="preserve"> </w:t>
      </w:r>
      <w:r>
        <w:t xml:space="preserve">Provoque des brûlures de la peau et des lésions oculaires graves.</w:t>
      </w:r>
    </w:p>
    <w:p>
      <w:pPr>
        <w:numPr>
          <w:ilvl w:val="0"/>
          <w:numId w:val="1007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2.0</w:t>
            </w:r>
          </w:p>
        </w:tc>
      </w:tr>
    </w:tbl>
    <w:bookmarkStart w:id="46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7">
        <w:r>
          <w:rPr>
            <w:rStyle w:val="Hyperlink"/>
            <w:color w:val="0856A0"/>
            <w:u w:val="single"/>
          </w:rPr>
          <w:t xml:space="preserve">Fiche n°20 - Hydroxyde de sodium et solutions aqueuses</w:t>
        </w:r>
      </w:hyperlink>
    </w:p>
    <w:p>
      <w:pPr>
        <w:numPr>
          <w:ilvl w:val="0"/>
          <w:numId w:val="1008"/>
        </w:numPr>
      </w:pPr>
      <w:hyperlink r:id="rId38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08"/>
        </w:numPr>
      </w:pPr>
      <w:hyperlink r:id="rId39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08"/>
        </w:numPr>
      </w:pPr>
      <w:hyperlink r:id="rId40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08"/>
        </w:numPr>
      </w:pPr>
      <w:hyperlink r:id="rId41">
        <w:r>
          <w:rPr>
            <w:rStyle w:val="Hyperlink"/>
            <w:color w:val="0856A0"/>
            <w:u w:val="single"/>
          </w:rPr>
          <w:t xml:space="preserve">Incendie - Explosion[7, 8]</w:t>
        </w:r>
      </w:hyperlink>
    </w:p>
    <w:p>
      <w:pPr>
        <w:numPr>
          <w:ilvl w:val="0"/>
          <w:numId w:val="1008"/>
        </w:numPr>
      </w:pPr>
      <w:hyperlink r:id="rId42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08"/>
        </w:numPr>
      </w:pPr>
      <w:hyperlink r:id="rId43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08"/>
        </w:numPr>
      </w:pPr>
      <w:hyperlink r:id="rId44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08"/>
        </w:numPr>
      </w:pPr>
      <w:hyperlink r:id="rId45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6"/>
    <w:bookmarkEnd w:id="47"/>
    <w:bookmarkEnd w:id="48"/>
    <w:bookmarkStart w:id="49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Gants résistants aux produits chimiques (selon la norme NF EN 374 ou équivalent). • Durée de rupture : à consulter les préconisations du fabricant (pas de valeur numérique fournie).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oculaire • Lunettes de sécurité avec protections latérales. • Écrans faciaux (si requis) – non détaillés dans le texte, mais mentionnés comme option.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• Gants résistants aux produits chimiques (selon la norme NF EN 374 ou équivalent). • Durée de rupture : à consulter les préconisations du fabricant (pas de valeur numérique fournie). Protection de la peau et du corps • Vêtements de protection chimiquement résistant (combinaison ou tenue complète).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 • Masque antipoussières filtre P2 (filtre à particules). Protection des voies respiratoires • Masque antipoussières filtre P2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 la peau et du corps • Vêtements de protection chimiquement résistant (combinaison ou tenue complète)</w:t>
            </w:r>
          </w:p>
        </w:tc>
      </w:tr>
    </w:tbl>
    <w:bookmarkEnd w:id="49"/>
    <w:bookmarkStart w:id="50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Assurer une bonne ventilation du poste de travail. - Empêcher ou limiter la formation et la dispersion de poussières. - Éviter le contact avec la peau et les yeux. - Supprimer toute source d’ignition. - Ne pas manger et ne pas boire pendant l’utilisation. - Se laver les mains immédiatement après chaque manipulation du produit, et systématiquement avant de quitter l’atelier.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 : - Conserver dans un endroit sec, frais et bien ventilé. - Garder le récipient bien fermé. - Protéger à l’abri de la chaleur, des sources d’ignition, de l’humidité et du rayonnement solaire. - Assurer une extraction ou une ventilation générale du local. - Conserver à l’écart des matières incompatibles. Incompatibilités : - Acides forts. - Oxydants puissants.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Absorbant pour utilisation industrielle, professionnelle et par le consommateur.</w:t>
            </w:r>
          </w:p>
        </w:tc>
      </w:tr>
    </w:tbl>
    <w:bookmarkEnd w:id="50"/>
    <w:bookmarkEnd w:id="51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7" Type="http://schemas.openxmlformats.org/officeDocument/2006/relationships/hyperlink" Target="https://www.inrs.fr/publications/bdd/fichetox/fiche.html?refINRS=FICHETOX_20" TargetMode="External"/><Relationship Id="rId40" Type="http://schemas.openxmlformats.org/officeDocument/2006/relationships/hyperlink" Target="https://www.inrs.fr/publications/bdd/fichetox/fiche.html?refINRS=FICHETOX_20&amp;section=VLEPMesurage" TargetMode="External"/><Relationship Id="rId45" Type="http://schemas.openxmlformats.org/officeDocument/2006/relationships/hyperlink" Target="https://www.inrs.fr/publications/bdd/fichetox/fiche.html?refINRS=FICHETOX_20&amp;section=bibliographieAuteurs" TargetMode="External"/><Relationship Id="rId39" Type="http://schemas.openxmlformats.org/officeDocument/2006/relationships/hyperlink" Target="https://www.inrs.fr/publications/bdd/fichetox/fiche.html?refINRS=FICHETOX_20&amp;section=caracteristiques" TargetMode="External"/><Relationship Id="rId38" Type="http://schemas.openxmlformats.org/officeDocument/2006/relationships/hyperlink" Target="https://www.inrs.fr/publications/bdd/fichetox/fiche.html?refINRS=FICHETOX_20&amp;section=generalites" TargetMode="External"/><Relationship Id="rId41" Type="http://schemas.openxmlformats.org/officeDocument/2006/relationships/hyperlink" Target="https://www.inrs.fr/publications/bdd/fichetox/fiche.html?refINRS=FICHETOX_20&amp;section=incendieExplosion" TargetMode="External"/><Relationship Id="rId42" Type="http://schemas.openxmlformats.org/officeDocument/2006/relationships/hyperlink" Target="https://www.inrs.fr/publications/bdd/fichetox/fiche.html?refINRS=FICHETOX_20&amp;section=pathologieToxicologie" TargetMode="External"/><Relationship Id="rId44" Type="http://schemas.openxmlformats.org/officeDocument/2006/relationships/hyperlink" Target="https://www.inrs.fr/publications/bdd/fichetox/fiche.html?refINRS=FICHETOX_20&amp;section=recommandations" TargetMode="External"/><Relationship Id="rId43" Type="http://schemas.openxmlformats.org/officeDocument/2006/relationships/hyperlink" Target="https://www.inrs.fr/publications/bdd/fichetox/fiche.html?refINRS=FICHETOX_20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7" Type="http://schemas.openxmlformats.org/officeDocument/2006/relationships/hyperlink" Target="https://www.inrs.fr/publications/bdd/fichetox/fiche.html?refINRS=FICHETOX_20" TargetMode="External"/><Relationship Id="rId40" Type="http://schemas.openxmlformats.org/officeDocument/2006/relationships/hyperlink" Target="https://www.inrs.fr/publications/bdd/fichetox/fiche.html?refINRS=FICHETOX_20&amp;section=VLEPMesurage" TargetMode="External"/><Relationship Id="rId45" Type="http://schemas.openxmlformats.org/officeDocument/2006/relationships/hyperlink" Target="https://www.inrs.fr/publications/bdd/fichetox/fiche.html?refINRS=FICHETOX_20&amp;section=bibliographieAuteurs" TargetMode="External"/><Relationship Id="rId39" Type="http://schemas.openxmlformats.org/officeDocument/2006/relationships/hyperlink" Target="https://www.inrs.fr/publications/bdd/fichetox/fiche.html?refINRS=FICHETOX_20&amp;section=caracteristiques" TargetMode="External"/><Relationship Id="rId38" Type="http://schemas.openxmlformats.org/officeDocument/2006/relationships/hyperlink" Target="https://www.inrs.fr/publications/bdd/fichetox/fiche.html?refINRS=FICHETOX_20&amp;section=generalites" TargetMode="External"/><Relationship Id="rId41" Type="http://schemas.openxmlformats.org/officeDocument/2006/relationships/hyperlink" Target="https://www.inrs.fr/publications/bdd/fichetox/fiche.html?refINRS=FICHETOX_20&amp;section=incendieExplosion" TargetMode="External"/><Relationship Id="rId42" Type="http://schemas.openxmlformats.org/officeDocument/2006/relationships/hyperlink" Target="https://www.inrs.fr/publications/bdd/fichetox/fiche.html?refINRS=FICHETOX_20&amp;section=pathologieToxicologie" TargetMode="External"/><Relationship Id="rId44" Type="http://schemas.openxmlformats.org/officeDocument/2006/relationships/hyperlink" Target="https://www.inrs.fr/publications/bdd/fichetox/fiche.html?refINRS=FICHETOX_20&amp;section=recommandations" TargetMode="External"/><Relationship Id="rId43" Type="http://schemas.openxmlformats.org/officeDocument/2006/relationships/hyperlink" Target="https://www.inrs.fr/publications/bdd/fichetox/fiche.html?refINRS=FICHETOX_20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2026-04-01T16:57:48Z</dcterms:created>
  <dcterms:modified xsi:type="dcterms:W3CDTF">2026-04-01T16:57:48Z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