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desotec-airpelultradsdyleok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desotec-airpelultradsdyleok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8dcfa3c5f2299f03811c35075f894df2ccf780b"/>
    <w:p>
      <w:pPr>
        <w:pStyle w:val="Heading1"/>
      </w:pPr>
      <w:r>
        <w:t xml:space="preserve">Analyse des dangers : desotec-airpelultradsdyleok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desotec-airpelultradsdyleok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 noir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2016-10-03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2016-10-03.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tout vêtement ou chaussure souillés.</w:t>
      </w:r>
      <w:r>
        <w:t xml:space="preserve"> </w:t>
      </w:r>
      <w:r>
        <w:t xml:space="preserve">Laver abondamment la peau avec de l’eau savonneuse.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eyes : Rincer immédiatement et prolonger le rinçage en maintenant les paupières bien écartées.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ingestion : Rincer la bouche à l’eau.</w:t>
      </w:r>
      <w:r>
        <w:t xml:space="preserve"> </w:t>
      </w:r>
      <w:r>
        <w:t xml:space="preserve">Faire boire de l’eau.</w:t>
      </w:r>
      <w:r>
        <w:t xml:space="preserve"> </w:t>
      </w:r>
      <w:r>
        <w:t xml:space="preserve">Consulter un médecin en cas de malaise.</w:t>
      </w:r>
    </w:p>
    <w:p>
      <w:pPr>
        <w:pStyle w:val="BodyText"/>
      </w:pPr>
      <w:r>
        <w:t xml:space="preserve">inhalation : Retirer la personne de la zone contaminée.</w:t>
      </w:r>
      <w:r>
        <w:t xml:space="preserve"> </w:t>
      </w:r>
      <w:r>
        <w:t xml:space="preserve">L’amener à l’air frais.</w:t>
      </w:r>
      <w:r>
        <w:t xml:space="preserve"> </w:t>
      </w:r>
      <w:r>
        <w:t xml:space="preserve">Consulter un médecin en cas de malaise.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harbon-actif-squelette-de-haute-densité"/>
    <w:p>
      <w:pPr>
        <w:pStyle w:val="Heading3"/>
      </w:pPr>
      <w:r>
        <w:t xml:space="preserve">Charbon actif, Squelette de Haute densité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7440-44-0</w:t>
      </w:r>
    </w:p>
    <w:p>
      <w:pPr>
        <w:pStyle w:val="Compact"/>
        <w:numPr>
          <w:ilvl w:val="0"/>
          <w:numId w:val="1005"/>
        </w:numPr>
      </w:pPr>
      <w:r>
        <w:t xml:space="preserve">N° EINECS : 921-328-0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0.5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résistants aux produits chimiques (selon la norme NF EN 374 ou équivalent).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avec protections latérales.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résistants aux produits chimiques (selon la norme NF EN 374 ou équivalent).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 antipoussières filtre P 2 (pour dégagement de poussières).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 vêtement de protection chimiquement résistant.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Empêcher ou limiter la formation et la dispersion de poussières. - Éviter le contact avec la peau et les yeux. - Supprimer toute source d’ignition. - Ne pas manger et ne pas boire pendant l’utilisation. - Se laver les mains immédiatement après chaque manipulation du produit, et systématiquement avant de quitter l’atelier.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dans un endroit sec, frais et bien ventilé. - Conserver le récipient bien fermé. - Conserver à l’abri de la chaleur. - Conserver à l’abri des sources d’ignition. - Conserver à l’écart des matières incompatibles. - Protéger de l’humidité. - Protéger du rayonnement solaire. Matières incompatibles : - Acides forts. - Oxydants puissants.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publications/bdd/fichetox/fiche.html?refINRS=FICHETOX_20" TargetMode="External"/><Relationship Id="rId40" Type="http://schemas.openxmlformats.org/officeDocument/2006/relationships/hyperlink" Target="https://www.inrs.fr/publications/bdd/fichetox/fiche.html?refINRS=FICHETOX_20&amp;section=VLEPMesurage" TargetMode="External"/><Relationship Id="rId45" Type="http://schemas.openxmlformats.org/officeDocument/2006/relationships/hyperlink" Target="https://www.inrs.fr/publications/bdd/fichetox/fiche.html?refINRS=FICHETOX_20&amp;section=bibliographieAuteurs" TargetMode="External"/><Relationship Id="rId39" Type="http://schemas.openxmlformats.org/officeDocument/2006/relationships/hyperlink" Target="https://www.inrs.fr/publications/bdd/fichetox/fiche.html?refINRS=FICHETOX_20&amp;section=caracteristiques" TargetMode="External"/><Relationship Id="rId38" Type="http://schemas.openxmlformats.org/officeDocument/2006/relationships/hyperlink" Target="https://www.inrs.fr/publications/bdd/fichetox/fiche.html?refINRS=FICHETOX_20&amp;section=generalites" TargetMode="External"/><Relationship Id="rId41" Type="http://schemas.openxmlformats.org/officeDocument/2006/relationships/hyperlink" Target="https://www.inrs.fr/publications/bdd/fichetox/fiche.html?refINRS=FICHETOX_20&amp;section=incendieExplosion" TargetMode="External"/><Relationship Id="rId42" Type="http://schemas.openxmlformats.org/officeDocument/2006/relationships/hyperlink" Target="https://www.inrs.fr/publications/bdd/fichetox/fiche.html?refINRS=FICHETOX_20&amp;section=pathologieToxicologie" TargetMode="External"/><Relationship Id="rId44" Type="http://schemas.openxmlformats.org/officeDocument/2006/relationships/hyperlink" Target="https://www.inrs.fr/publications/bdd/fichetox/fiche.html?refINRS=FICHETOX_20&amp;section=recommandations" TargetMode="External"/><Relationship Id="rId43" Type="http://schemas.openxmlformats.org/officeDocument/2006/relationships/hyperlink" Target="https://www.inrs.fr/publications/bdd/fichetox/fiche.html?refINRS=FICHETOX_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publications/bdd/fichetox/fiche.html?refINRS=FICHETOX_20" TargetMode="External"/><Relationship Id="rId40" Type="http://schemas.openxmlformats.org/officeDocument/2006/relationships/hyperlink" Target="https://www.inrs.fr/publications/bdd/fichetox/fiche.html?refINRS=FICHETOX_20&amp;section=VLEPMesurage" TargetMode="External"/><Relationship Id="rId45" Type="http://schemas.openxmlformats.org/officeDocument/2006/relationships/hyperlink" Target="https://www.inrs.fr/publications/bdd/fichetox/fiche.html?refINRS=FICHETOX_20&amp;section=bibliographieAuteurs" TargetMode="External"/><Relationship Id="rId39" Type="http://schemas.openxmlformats.org/officeDocument/2006/relationships/hyperlink" Target="https://www.inrs.fr/publications/bdd/fichetox/fiche.html?refINRS=FICHETOX_20&amp;section=caracteristiques" TargetMode="External"/><Relationship Id="rId38" Type="http://schemas.openxmlformats.org/officeDocument/2006/relationships/hyperlink" Target="https://www.inrs.fr/publications/bdd/fichetox/fiche.html?refINRS=FICHETOX_20&amp;section=generalites" TargetMode="External"/><Relationship Id="rId41" Type="http://schemas.openxmlformats.org/officeDocument/2006/relationships/hyperlink" Target="https://www.inrs.fr/publications/bdd/fichetox/fiche.html?refINRS=FICHETOX_20&amp;section=incendieExplosion" TargetMode="External"/><Relationship Id="rId42" Type="http://schemas.openxmlformats.org/officeDocument/2006/relationships/hyperlink" Target="https://www.inrs.fr/publications/bdd/fichetox/fiche.html?refINRS=FICHETOX_20&amp;section=pathologieToxicologie" TargetMode="External"/><Relationship Id="rId44" Type="http://schemas.openxmlformats.org/officeDocument/2006/relationships/hyperlink" Target="https://www.inrs.fr/publications/bdd/fichetox/fiche.html?refINRS=FICHETOX_20&amp;section=recommandations" TargetMode="External"/><Relationship Id="rId43" Type="http://schemas.openxmlformats.org/officeDocument/2006/relationships/hyperlink" Target="https://www.inrs.fr/publications/bdd/fichetox/fiche.html?refINRS=FICHETOX_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2026-04-01T17:01:01Z</dcterms:created>
  <dcterms:modified xsi:type="dcterms:W3CDTF">2026-04-01T17:01:01Z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