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detergentmulti-usagevigorrosieresok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Diversey Europe Operations BV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2026-04-01</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detergentmulti-usagevigorrosieresok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64" w:name="Xe818e6878cdab22e6370e5de3be5f8a2ce2f47c"/>
    <w:p>
      <w:pPr>
        <w:pStyle w:val="Heading1"/>
      </w:pPr>
      <w:r>
        <w:t xml:space="preserve">Analyse des dangers : detergentmulti-usagevigorrosieresok</w:t>
      </w:r>
    </w:p>
    <w:p>
      <w:pPr>
        <w:pStyle w:val="FirstParagraph"/>
      </w:pPr>
      <w:r>
        <w:t xml:space="preserve">Dans la suite, nous détaillons les dangers associés au produit</w:t>
      </w:r>
      <w:r>
        <w:t xml:space="preserve"> </w:t>
      </w:r>
      <w:r>
        <w:rPr>
          <w:b/>
          <w:bCs/>
        </w:rPr>
        <w:t xml:space="preserve">detergentmulti-usagevigorrosieresok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Diversey Europe Operations BV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 11</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 Nettoyant tous usages (procédé manuel) – AISE-P301 - Nettoyant sols (procédé semi-automatique) – AISE-P401 - Nettoyant sols (procédé manuel) – AISE-P403 - Nettoyants de surface (liquide, poudre, gel pur) pour usage domestique – AISE-C7 [2]</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2017-12-26</w:t>
            </w:r>
          </w:p>
        </w:tc>
      </w:tr>
    </w:tbl>
    <w:p>
      <w:pPr>
        <w:pStyle w:val="BodyText"/>
      </w:pPr>
      <w:r>
        <w:t xml:space="preserve"> </w:t>
      </w:r>
      <w:r>
        <w:t xml:space="preserve">La FDS date du 2017-12-26. Elle a donc 8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Nocif / Irritant" title="" id="31" name="Picture"/>
            <a:graphic>
              <a:graphicData uri="http://schemas.openxmlformats.org/drawingml/2006/picture">
                <pic:pic>
                  <pic:nvPicPr>
                    <pic:cNvPr descr="templates/SGH07.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H319</w:t>
      </w:r>
      <w:r>
        <w:t xml:space="preserve"> </w:t>
      </w:r>
      <w:r>
        <w:t xml:space="preserve">Provoque une sévère irritation des yeux.</w:t>
      </w:r>
    </w:p>
    <w:p>
      <w:pPr>
        <w:numPr>
          <w:ilvl w:val="0"/>
          <w:numId w:val="1003"/>
        </w:numPr>
      </w:pPr>
      <w:r>
        <w:t xml:space="preserve">H412</w:t>
      </w:r>
      <w:r>
        <w:t xml:space="preserve"> </w:t>
      </w:r>
      <w:r>
        <w:t xml:space="preserve">Nocif pour les organismes aquatiques, entraîne des effets néfastes à long terme.</w:t>
      </w:r>
    </w:p>
    <w:p>
      <w:pPr>
        <w:numPr>
          <w:ilvl w:val="0"/>
          <w:numId w:val="1003"/>
        </w:numPr>
      </w:pPr>
      <w:r>
        <w:t xml:space="preserve">EUH208</w:t>
      </w:r>
      <w:r>
        <w:t xml:space="preserve"> </w:t>
      </w:r>
      <w:r>
        <w:t xml:space="preserve">Contient (nom de la substance sensibilisante). Peut produire une réaction allergique.</w:t>
      </w:r>
    </w:p>
    <w:p>
      <w:pPr>
        <w:pStyle w:val="FirstParagraph"/>
      </w:pPr>
      <w:r>
        <w:rPr>
          <w:b/>
          <w:bCs/>
        </w:rPr>
        <w:t xml:space="preserve">Conseils de prudence</w:t>
      </w:r>
      <w:r>
        <w:t xml:space="preserve"> </w:t>
      </w:r>
      <w:r>
        <w:t xml:space="preserve">:</w:t>
      </w:r>
    </w:p>
    <w:p>
      <w:pPr>
        <w:numPr>
          <w:ilvl w:val="0"/>
          <w:numId w:val="1004"/>
        </w:numPr>
      </w:pPr>
      <w:r>
        <w:t xml:space="preserve">P101</w:t>
      </w:r>
      <w:r>
        <w:t xml:space="preserve"> </w:t>
      </w:r>
      <w:r>
        <w:t xml:space="preserve">En cas de consultation d’un médecin, garder à disposition le récipient ou l’étiquette.</w:t>
      </w:r>
    </w:p>
    <w:p>
      <w:pPr>
        <w:numPr>
          <w:ilvl w:val="0"/>
          <w:numId w:val="1004"/>
        </w:numPr>
      </w:pPr>
      <w:r>
        <w:t xml:space="preserve">P102</w:t>
      </w:r>
      <w:r>
        <w:t xml:space="preserve"> </w:t>
      </w:r>
      <w:r>
        <w:t xml:space="preserve">Tenir hors de portée des enfants.</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w:t>
      </w:r>
    </w:p>
    <w:p>
      <w:pPr>
        <w:pStyle w:val="Compact"/>
        <w:numPr>
          <w:ilvl w:val="0"/>
          <w:numId w:val="1005"/>
        </w:numPr>
      </w:pPr>
      <w:r>
        <w:t xml:space="preserve">RID : -</w:t>
      </w:r>
    </w:p>
    <w:p>
      <w:pPr>
        <w:pStyle w:val="Compact"/>
        <w:numPr>
          <w:ilvl w:val="0"/>
          <w:numId w:val="1005"/>
        </w:numPr>
      </w:pPr>
      <w:r>
        <w:t xml:space="preserve">ADN : -</w:t>
      </w:r>
    </w:p>
    <w:p>
      <w:pPr>
        <w:pStyle w:val="Compact"/>
        <w:numPr>
          <w:ilvl w:val="0"/>
          <w:numId w:val="1005"/>
        </w:numPr>
      </w:pPr>
      <w:r>
        <w:t xml:space="preserve">IMDG : -</w:t>
      </w:r>
    </w:p>
    <w:p>
      <w:pPr>
        <w:pStyle w:val="Compact"/>
        <w:numPr>
          <w:ilvl w:val="0"/>
          <w:numId w:val="1005"/>
        </w:numPr>
      </w:pPr>
      <w:r>
        <w:t xml:space="preserve">IATA : -</w:t>
      </w:r>
    </w:p>
    <w:p>
      <w:pPr>
        <w:pStyle w:val="Compact"/>
        <w:numPr>
          <w:ilvl w:val="0"/>
          <w:numId w:val="1005"/>
        </w:numPr>
      </w:pPr>
      <w:r>
        <w:t xml:space="preserve">UN : -</w:t>
      </w:r>
    </w:p>
    <w:bookmarkEnd w:id="33"/>
    <w:bookmarkStart w:id="34" w:name="Xda6f178de632779b007ca26fa4959a763d2c7f4"/>
    <w:p>
      <w:pPr>
        <w:pStyle w:val="Heading2"/>
      </w:pPr>
      <w:r>
        <w:t xml:space="preserve">Dangers et/ou mesures par voie d’exposition</w:t>
      </w:r>
    </w:p>
    <w:p>
      <w:pPr>
        <w:pStyle w:val="FirstParagraph"/>
      </w:pPr>
      <w:r>
        <w:t xml:space="preserve">skin : Laver la peau avec beaucoup d’eau tiède, à faible débit.</w:t>
      </w:r>
      <w:r>
        <w:t xml:space="preserve"> </w:t>
      </w:r>
      <w:r>
        <w:t xml:space="preserve">En cas d’irritation cutanée, consulter un médecin.</w:t>
      </w:r>
    </w:p>
    <w:p>
      <w:pPr>
        <w:pStyle w:val="BodyText"/>
      </w:pPr>
      <w:r>
        <w:t xml:space="preserve">eyes : Maintenir les paupières ouvertes et rincer abondamment les yeux à l’eau tiède pendant au moins 15 minutes.</w:t>
      </w:r>
      <w:r>
        <w:t xml:space="preserve"> </w:t>
      </w:r>
      <w:r>
        <w:t xml:space="preserve">Enlever les lentilles de contact si la victime en porte et si elles peuvent être facilement enlevées.</w:t>
      </w:r>
      <w:r>
        <w:t xml:space="preserve"> </w:t>
      </w:r>
      <w:r>
        <w:t xml:space="preserve">Continuer à rincer.</w:t>
      </w:r>
      <w:r>
        <w:t xml:space="preserve"> </w:t>
      </w:r>
      <w:r>
        <w:t xml:space="preserve">Si l’irritation survient et persiste, faire appel à une assistance médicale.</w:t>
      </w:r>
    </w:p>
    <w:p>
      <w:pPr>
        <w:pStyle w:val="BodyText"/>
      </w:pPr>
      <w:r>
        <w:t xml:space="preserve">ingestion : Boire immédiatement un verre d’eau.</w:t>
      </w:r>
      <w:r>
        <w:t xml:space="preserve"> </w:t>
      </w:r>
      <w:r>
        <w:t xml:space="preserve">Ne jamais faire ingérer quoi que ce soit à une personne inconsciente.</w:t>
      </w:r>
      <w:r>
        <w:t xml:space="preserve"> </w:t>
      </w:r>
      <w:r>
        <w:t xml:space="preserve">Consulter un médecin en cas de malaise.</w:t>
      </w:r>
    </w:p>
    <w:p>
      <w:pPr>
        <w:pStyle w:val="BodyText"/>
      </w:pPr>
      <w:r>
        <w:t xml:space="preserve">inhalation : Consulter un médecin en cas de malaise.</w:t>
      </w:r>
    </w:p>
    <w:p>
      <w:r>
        <w:br w:type="page"/>
      </w:r>
    </w:p>
    <w:bookmarkEnd w:id="34"/>
    <w:bookmarkStart w:id="61" w:name="Xd3fd47f9279b52cc9d4b00e07bdfde0bea6594f"/>
    <w:p>
      <w:pPr>
        <w:pStyle w:val="Heading2"/>
      </w:pPr>
      <w:r>
        <w:t xml:space="preserve">Informations relatives aux substances dangereuses présentes</w:t>
      </w:r>
    </w:p>
    <w:bookmarkStart w:id="36" w:name="alcool-éthoxylate-dalkyle"/>
    <w:p>
      <w:pPr>
        <w:pStyle w:val="Heading3"/>
      </w:pPr>
      <w:r>
        <w:t xml:space="preserve">Alcool éthoxylate d’alkyle</w:t>
      </w:r>
    </w:p>
    <w:p>
      <w:pPr>
        <w:pStyle w:val="FirstParagraph"/>
      </w:pPr>
      <w:r>
        <w:rPr>
          <w:b/>
          <w:bCs/>
        </w:rPr>
        <w:t xml:space="preserve">Identification</w:t>
      </w:r>
    </w:p>
    <w:p>
      <w:pPr>
        <w:pStyle w:val="Compact"/>
        <w:numPr>
          <w:ilvl w:val="0"/>
          <w:numId w:val="1006"/>
        </w:numPr>
      </w:pPr>
      <w:r>
        <w:t xml:space="preserve">N° CAS : 68131-39-5</w:t>
      </w:r>
    </w:p>
    <w:p>
      <w:pPr>
        <w:pStyle w:val="Compact"/>
        <w:numPr>
          <w:ilvl w:val="0"/>
          <w:numId w:val="1006"/>
        </w:numPr>
      </w:pPr>
      <w:r>
        <w:t xml:space="preserve">N° EINECS : 500-195-7</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numPr>
          <w:ilvl w:val="0"/>
          <w:numId w:val="1007"/>
        </w:numPr>
      </w:pPr>
      <w:r>
        <w:t xml:space="preserve">H302</w:t>
      </w:r>
      <w:r>
        <w:t xml:space="preserve"> </w:t>
      </w:r>
      <w:r>
        <w:t xml:space="preserve">Nocif en cas d’ingestion.</w:t>
      </w:r>
    </w:p>
    <w:p>
      <w:pPr>
        <w:numPr>
          <w:ilvl w:val="0"/>
          <w:numId w:val="1007"/>
        </w:numPr>
      </w:pPr>
      <w:r>
        <w:t xml:space="preserve">H318</w:t>
      </w:r>
      <w:r>
        <w:t xml:space="preserve"> </w:t>
      </w:r>
      <w:r>
        <w:t xml:space="preserve">Provoque des lésions oculaires graves.</w:t>
      </w:r>
    </w:p>
    <w:p>
      <w:pPr>
        <w:numPr>
          <w:ilvl w:val="0"/>
          <w:numId w:val="1007"/>
        </w:numPr>
      </w:pPr>
      <w:r>
        <w:t xml:space="preserve">H400</w:t>
      </w:r>
      <w:r>
        <w:t xml:space="preserve"> </w:t>
      </w:r>
      <w:r>
        <w:t xml:space="preserve">Très toxique pour les organismes aquatiques.</w:t>
      </w:r>
    </w:p>
    <w:p>
      <w:pPr>
        <w:numPr>
          <w:ilvl w:val="0"/>
          <w:numId w:val="1007"/>
        </w:numPr>
      </w:pPr>
      <w:r>
        <w:t xml:space="preserve">H411</w:t>
      </w:r>
      <w:r>
        <w:t xml:space="preserve"> </w:t>
      </w:r>
      <w:r>
        <w:t xml:space="preserve">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5" w:name="propriétés"/>
    <w:p>
      <w:pPr>
        <w:pStyle w:val="Heading4"/>
      </w:pPr>
      <w:r>
        <w:t xml:space="preserve">Propriétés</w:t>
      </w:r>
    </w:p>
    <w:p>
      <w:pPr>
        <w:pStyle w:val="FirstParagraph"/>
      </w:pPr>
      <w:r>
        <w:t xml:space="preserve">Pas d’informations disponible.</w:t>
      </w:r>
    </w:p>
    <w:bookmarkEnd w:id="35"/>
    <w:bookmarkEnd w:id="36"/>
    <w:bookmarkStart w:id="47" w:name="butoxyéthoxyéthanol"/>
    <w:p>
      <w:pPr>
        <w:pStyle w:val="Heading3"/>
      </w:pPr>
      <w:r>
        <w:t xml:space="preserve">2-(2-butoxyéthoxy)éthanol</w:t>
      </w:r>
    </w:p>
    <w:p>
      <w:pPr>
        <w:pStyle w:val="FirstParagraph"/>
      </w:pPr>
      <w:r>
        <w:rPr>
          <w:b/>
          <w:bCs/>
        </w:rPr>
        <w:t xml:space="preserve">Identification</w:t>
      </w:r>
    </w:p>
    <w:p>
      <w:pPr>
        <w:pStyle w:val="Compact"/>
        <w:numPr>
          <w:ilvl w:val="0"/>
          <w:numId w:val="1008"/>
        </w:numPr>
      </w:pPr>
      <w:r>
        <w:t xml:space="preserve">N° CAS : 112-34-5</w:t>
      </w:r>
    </w:p>
    <w:p>
      <w:pPr>
        <w:pStyle w:val="Compact"/>
        <w:numPr>
          <w:ilvl w:val="0"/>
          <w:numId w:val="1008"/>
        </w:numPr>
      </w:pPr>
      <w:r>
        <w:t xml:space="preserve">N° EINECS : 203-961-6</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pStyle w:val="Compact"/>
        <w:numPr>
          <w:ilvl w:val="0"/>
          <w:numId w:val="1009"/>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10.0 - VLE-8h (mg/m³) : 67.5 - VLE-15min (ppm) : 15.0 - VLE-15min (mg/m³) : 101.2</w:t>
            </w:r>
          </w:p>
        </w:tc>
      </w:tr>
    </w:tbl>
    <w:bookmarkStart w:id="46" w:name="propriétés-1"/>
    <w:p>
      <w:pPr>
        <w:pStyle w:val="Heading4"/>
      </w:pPr>
      <w:r>
        <w:t xml:space="preserve">Propriétés</w:t>
      </w:r>
    </w:p>
    <w:p>
      <w:pPr>
        <w:pStyle w:val="FirstParagraph"/>
      </w:pPr>
      <w:hyperlink r:id="rId37">
        <w:r>
          <w:rPr>
            <w:rStyle w:val="Hyperlink"/>
            <w:color w:val="0856A0"/>
            <w:u w:val="single"/>
          </w:rPr>
          <w:t xml:space="preserve">Fiche n°254 - 2-(2-Butoxyéthoxy)éthanol et son acétate</w:t>
        </w:r>
      </w:hyperlink>
    </w:p>
    <w:p>
      <w:pPr>
        <w:numPr>
          <w:ilvl w:val="0"/>
          <w:numId w:val="1010"/>
        </w:numPr>
      </w:pPr>
      <w:hyperlink r:id="rId38">
        <w:r>
          <w:rPr>
            <w:rStyle w:val="Hyperlink"/>
            <w:color w:val="0856A0"/>
            <w:u w:val="single"/>
          </w:rPr>
          <w:t xml:space="preserve">Généralités</w:t>
        </w:r>
      </w:hyperlink>
    </w:p>
    <w:p>
      <w:pPr>
        <w:numPr>
          <w:ilvl w:val="0"/>
          <w:numId w:val="1010"/>
        </w:numPr>
      </w:pPr>
      <w:hyperlink r:id="rId39">
        <w:r>
          <w:rPr>
            <w:rStyle w:val="Hyperlink"/>
            <w:color w:val="0856A0"/>
            <w:u w:val="single"/>
          </w:rPr>
          <w:t xml:space="preserve">Caractéristiques</w:t>
        </w:r>
      </w:hyperlink>
    </w:p>
    <w:p>
      <w:pPr>
        <w:numPr>
          <w:ilvl w:val="0"/>
          <w:numId w:val="1010"/>
        </w:numPr>
      </w:pPr>
      <w:hyperlink r:id="rId40">
        <w:r>
          <w:rPr>
            <w:rStyle w:val="Hyperlink"/>
            <w:color w:val="0856A0"/>
            <w:u w:val="single"/>
          </w:rPr>
          <w:t xml:space="preserve">VLEPMesurage</w:t>
        </w:r>
      </w:hyperlink>
    </w:p>
    <w:p>
      <w:pPr>
        <w:numPr>
          <w:ilvl w:val="0"/>
          <w:numId w:val="1010"/>
        </w:numPr>
      </w:pPr>
      <w:hyperlink r:id="rId41">
        <w:r>
          <w:rPr>
            <w:rStyle w:val="Hyperlink"/>
            <w:color w:val="0856A0"/>
            <w:u w:val="single"/>
          </w:rPr>
          <w:t xml:space="preserve">Incendie - Explosion[3, 5-7, 14-16]</w:t>
        </w:r>
      </w:hyperlink>
    </w:p>
    <w:p>
      <w:pPr>
        <w:numPr>
          <w:ilvl w:val="0"/>
          <w:numId w:val="1010"/>
        </w:numPr>
      </w:pPr>
      <w:hyperlink r:id="rId42">
        <w:r>
          <w:rPr>
            <w:rStyle w:val="Hyperlink"/>
            <w:color w:val="0856A0"/>
            <w:u w:val="single"/>
          </w:rPr>
          <w:t xml:space="preserve">Pathologie - Toxicologie</w:t>
        </w:r>
      </w:hyperlink>
    </w:p>
    <w:p>
      <w:pPr>
        <w:numPr>
          <w:ilvl w:val="0"/>
          <w:numId w:val="1010"/>
        </w:numPr>
      </w:pPr>
      <w:hyperlink r:id="rId43">
        <w:r>
          <w:rPr>
            <w:rStyle w:val="Hyperlink"/>
            <w:color w:val="0856A0"/>
            <w:u w:val="single"/>
          </w:rPr>
          <w:t xml:space="preserve">Règlementation</w:t>
        </w:r>
      </w:hyperlink>
    </w:p>
    <w:p>
      <w:pPr>
        <w:numPr>
          <w:ilvl w:val="0"/>
          <w:numId w:val="1010"/>
        </w:numPr>
      </w:pPr>
      <w:hyperlink r:id="rId44">
        <w:r>
          <w:rPr>
            <w:rStyle w:val="Hyperlink"/>
            <w:color w:val="0856A0"/>
            <w:u w:val="single"/>
          </w:rPr>
          <w:t xml:space="preserve">Recommandations</w:t>
        </w:r>
      </w:hyperlink>
    </w:p>
    <w:p>
      <w:pPr>
        <w:numPr>
          <w:ilvl w:val="0"/>
          <w:numId w:val="1010"/>
        </w:numPr>
      </w:pPr>
      <w:hyperlink r:id="rId45">
        <w:r>
          <w:rPr>
            <w:rStyle w:val="Hyperlink"/>
            <w:color w:val="0856A0"/>
            <w:u w:val="single"/>
          </w:rPr>
          <w:t xml:space="preserve">Bibliographie</w:t>
        </w:r>
      </w:hyperlink>
    </w:p>
    <w:bookmarkEnd w:id="46"/>
    <w:bookmarkEnd w:id="47"/>
    <w:bookmarkStart w:id="49" w:name="alkylbenzène-sulfonate-de-sodium"/>
    <w:p>
      <w:pPr>
        <w:pStyle w:val="Heading3"/>
      </w:pPr>
      <w:r>
        <w:t xml:space="preserve">Alkylbenzène sulfonate de sodium</w:t>
      </w:r>
    </w:p>
    <w:p>
      <w:pPr>
        <w:pStyle w:val="FirstParagraph"/>
      </w:pPr>
      <w:r>
        <w:rPr>
          <w:b/>
          <w:bCs/>
        </w:rPr>
        <w:t xml:space="preserve">Identification</w:t>
      </w:r>
    </w:p>
    <w:p>
      <w:pPr>
        <w:pStyle w:val="Compact"/>
        <w:numPr>
          <w:ilvl w:val="0"/>
          <w:numId w:val="1011"/>
        </w:numPr>
      </w:pPr>
      <w:r>
        <w:t xml:space="preserve">N° CAS : 90194-45-9</w:t>
      </w:r>
    </w:p>
    <w:p>
      <w:pPr>
        <w:pStyle w:val="Compact"/>
        <w:numPr>
          <w:ilvl w:val="0"/>
          <w:numId w:val="1011"/>
        </w:numPr>
      </w:pPr>
      <w:r>
        <w:t xml:space="preserve">N° EINECS : 290-656-6</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numPr>
          <w:ilvl w:val="0"/>
          <w:numId w:val="1012"/>
        </w:numPr>
      </w:pPr>
      <w:r>
        <w:t xml:space="preserve">H302</w:t>
      </w:r>
      <w:r>
        <w:t xml:space="preserve"> </w:t>
      </w:r>
      <w:r>
        <w:t xml:space="preserve">Nocif en cas d’ingestion.</w:t>
      </w:r>
    </w:p>
    <w:p>
      <w:pPr>
        <w:numPr>
          <w:ilvl w:val="0"/>
          <w:numId w:val="1012"/>
        </w:numPr>
      </w:pPr>
      <w:r>
        <w:t xml:space="preserve">H315</w:t>
      </w:r>
      <w:r>
        <w:t xml:space="preserve"> </w:t>
      </w:r>
      <w:r>
        <w:t xml:space="preserve">Provoque une irritation cutanée.</w:t>
      </w:r>
    </w:p>
    <w:p>
      <w:pPr>
        <w:numPr>
          <w:ilvl w:val="0"/>
          <w:numId w:val="1012"/>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8" w:name="propriétés-2"/>
    <w:p>
      <w:pPr>
        <w:pStyle w:val="Heading4"/>
      </w:pPr>
      <w:r>
        <w:t xml:space="preserve">Propriétés</w:t>
      </w:r>
    </w:p>
    <w:p>
      <w:pPr>
        <w:pStyle w:val="FirstParagraph"/>
      </w:pPr>
      <w:r>
        <w:t xml:space="preserve">Pas d’informations disponible.</w:t>
      </w:r>
    </w:p>
    <w:bookmarkEnd w:id="48"/>
    <w:bookmarkEnd w:id="49"/>
    <w:bookmarkStart w:id="60" w:name="benzisothiazol-32h-one"/>
    <w:p>
      <w:pPr>
        <w:pStyle w:val="Heading3"/>
      </w:pPr>
      <w:r>
        <w:t xml:space="preserve">1,2-benzisothiazol-3(2H)-one</w:t>
      </w:r>
    </w:p>
    <w:p>
      <w:pPr>
        <w:pStyle w:val="FirstParagraph"/>
      </w:pPr>
      <w:r>
        <w:rPr>
          <w:b/>
          <w:bCs/>
        </w:rPr>
        <w:t xml:space="preserve">Identification</w:t>
      </w:r>
    </w:p>
    <w:p>
      <w:pPr>
        <w:pStyle w:val="Compact"/>
        <w:numPr>
          <w:ilvl w:val="0"/>
          <w:numId w:val="1013"/>
        </w:numPr>
      </w:pPr>
      <w:r>
        <w:t xml:space="preserve">N° CAS : 2634-33-5</w:t>
      </w:r>
    </w:p>
    <w:p>
      <w:pPr>
        <w:pStyle w:val="Compact"/>
        <w:numPr>
          <w:ilvl w:val="0"/>
          <w:numId w:val="1013"/>
        </w:numPr>
      </w:pPr>
      <w:r>
        <w:t xml:space="preserve">N° EINECS : 220-120-9</w:t>
      </w:r>
    </w:p>
    <w:p>
      <w:pPr>
        <w:pStyle w:val="FirstParagraph"/>
      </w:pPr>
      <w:r>
        <w:rPr>
          <w:b/>
          <w:bCs/>
        </w:rPr>
        <w:t xml:space="preserve">Concentration</w:t>
      </w:r>
      <w:r>
        <w:t xml:space="preserve"> </w:t>
      </w:r>
      <w:r>
        <w:t xml:space="preserve">:from 0.01 to 0.1</w:t>
      </w:r>
    </w:p>
    <w:p>
      <w:pPr>
        <w:pStyle w:val="BodyText"/>
      </w:pPr>
      <w:r>
        <w:rPr>
          <w:b/>
          <w:bCs/>
        </w:rPr>
        <w:t xml:space="preserve">Dangers</w:t>
      </w:r>
      <w:r>
        <w:t xml:space="preserve"> </w:t>
      </w:r>
      <w:r>
        <w:t xml:space="preserve">:</w:t>
      </w:r>
    </w:p>
    <w:p>
      <w:pPr>
        <w:numPr>
          <w:ilvl w:val="0"/>
          <w:numId w:val="1014"/>
        </w:numPr>
      </w:pPr>
      <w:r>
        <w:t xml:space="preserve">H302</w:t>
      </w:r>
      <w:r>
        <w:t xml:space="preserve"> </w:t>
      </w:r>
      <w:r>
        <w:t xml:space="preserve">Nocif en cas d’ingestion.</w:t>
      </w:r>
    </w:p>
    <w:p>
      <w:pPr>
        <w:numPr>
          <w:ilvl w:val="0"/>
          <w:numId w:val="1014"/>
        </w:numPr>
      </w:pPr>
      <w:r>
        <w:t xml:space="preserve">H315</w:t>
      </w:r>
      <w:r>
        <w:t xml:space="preserve"> </w:t>
      </w:r>
      <w:r>
        <w:t xml:space="preserve">Provoque une irritation cutanée.</w:t>
      </w:r>
    </w:p>
    <w:p>
      <w:pPr>
        <w:numPr>
          <w:ilvl w:val="0"/>
          <w:numId w:val="1014"/>
        </w:numPr>
      </w:pPr>
      <w:r>
        <w:t xml:space="preserve">H317</w:t>
      </w:r>
      <w:r>
        <w:t xml:space="preserve"> </w:t>
      </w:r>
      <w:r>
        <w:t xml:space="preserve">Peut provoquer une allergie cutanée.</w:t>
      </w:r>
    </w:p>
    <w:p>
      <w:pPr>
        <w:numPr>
          <w:ilvl w:val="0"/>
          <w:numId w:val="1014"/>
        </w:numPr>
      </w:pPr>
      <w:r>
        <w:t xml:space="preserve">H318</w:t>
      </w:r>
      <w:r>
        <w:t xml:space="preserve"> </w:t>
      </w:r>
      <w:r>
        <w:t xml:space="preserve">Provoque des lésions oculaires graves.</w:t>
      </w:r>
    </w:p>
    <w:p>
      <w:pPr>
        <w:numPr>
          <w:ilvl w:val="0"/>
          <w:numId w:val="1014"/>
        </w:numPr>
      </w:pPr>
      <w:r>
        <w:t xml:space="preserve">H330</w:t>
      </w:r>
      <w:r>
        <w:t xml:space="preserve"> </w:t>
      </w:r>
      <w:r>
        <w:t xml:space="preserve">Fatal if inhaled.</w:t>
      </w:r>
    </w:p>
    <w:p>
      <w:pPr>
        <w:numPr>
          <w:ilvl w:val="0"/>
          <w:numId w:val="1014"/>
        </w:numPr>
      </w:pPr>
      <w:r>
        <w:t xml:space="preserve">H400</w:t>
      </w:r>
      <w:r>
        <w:t xml:space="preserve"> </w:t>
      </w:r>
      <w:r>
        <w:t xml:space="preserve">Très toxique pour les organismes aquatiques.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9" w:name="propriétés-3"/>
    <w:p>
      <w:pPr>
        <w:pStyle w:val="Heading4"/>
      </w:pPr>
      <w:r>
        <w:t xml:space="preserve">Propriétés</w:t>
      </w:r>
    </w:p>
    <w:p>
      <w:pPr>
        <w:pStyle w:val="FirstParagraph"/>
      </w:pPr>
      <w:hyperlink r:id="rId50">
        <w:r>
          <w:rPr>
            <w:rStyle w:val="Hyperlink"/>
            <w:color w:val="0856A0"/>
            <w:u w:val="single"/>
          </w:rPr>
          <w:t xml:space="preserve">Fiche n°243 - 1,2-Benzisothiazol-3(2H)-one</w:t>
        </w:r>
      </w:hyperlink>
    </w:p>
    <w:p>
      <w:pPr>
        <w:numPr>
          <w:ilvl w:val="0"/>
          <w:numId w:val="1015"/>
        </w:numPr>
      </w:pPr>
      <w:hyperlink r:id="rId51">
        <w:r>
          <w:rPr>
            <w:rStyle w:val="Hyperlink"/>
            <w:color w:val="0856A0"/>
            <w:u w:val="single"/>
          </w:rPr>
          <w:t xml:space="preserve">Généralités</w:t>
        </w:r>
      </w:hyperlink>
    </w:p>
    <w:p>
      <w:pPr>
        <w:numPr>
          <w:ilvl w:val="0"/>
          <w:numId w:val="1015"/>
        </w:numPr>
      </w:pPr>
      <w:hyperlink r:id="rId52">
        <w:r>
          <w:rPr>
            <w:rStyle w:val="Hyperlink"/>
            <w:color w:val="0856A0"/>
            <w:u w:val="single"/>
          </w:rPr>
          <w:t xml:space="preserve">Caractéristiques</w:t>
        </w:r>
      </w:hyperlink>
    </w:p>
    <w:p>
      <w:pPr>
        <w:numPr>
          <w:ilvl w:val="0"/>
          <w:numId w:val="1015"/>
        </w:numPr>
      </w:pPr>
      <w:hyperlink r:id="rId53">
        <w:r>
          <w:rPr>
            <w:rStyle w:val="Hyperlink"/>
            <w:color w:val="0856A0"/>
            <w:u w:val="single"/>
          </w:rPr>
          <w:t xml:space="preserve">VLEPMesurage</w:t>
        </w:r>
      </w:hyperlink>
    </w:p>
    <w:p>
      <w:pPr>
        <w:numPr>
          <w:ilvl w:val="0"/>
          <w:numId w:val="1015"/>
        </w:numPr>
      </w:pPr>
      <w:hyperlink r:id="rId54">
        <w:r>
          <w:rPr>
            <w:rStyle w:val="Hyperlink"/>
            <w:color w:val="0856A0"/>
            <w:u w:val="single"/>
          </w:rPr>
          <w:t xml:space="preserve">Incendie - Explosion[7-9]</w:t>
        </w:r>
      </w:hyperlink>
    </w:p>
    <w:p>
      <w:pPr>
        <w:numPr>
          <w:ilvl w:val="0"/>
          <w:numId w:val="1015"/>
        </w:numPr>
      </w:pPr>
      <w:hyperlink r:id="rId55">
        <w:r>
          <w:rPr>
            <w:rStyle w:val="Hyperlink"/>
            <w:color w:val="0856A0"/>
            <w:u w:val="single"/>
          </w:rPr>
          <w:t xml:space="preserve">Pathologie - Toxicologie</w:t>
        </w:r>
      </w:hyperlink>
    </w:p>
    <w:p>
      <w:pPr>
        <w:numPr>
          <w:ilvl w:val="0"/>
          <w:numId w:val="1015"/>
        </w:numPr>
      </w:pPr>
      <w:hyperlink r:id="rId56">
        <w:r>
          <w:rPr>
            <w:rStyle w:val="Hyperlink"/>
            <w:color w:val="0856A0"/>
            <w:u w:val="single"/>
          </w:rPr>
          <w:t xml:space="preserve">Règlementation</w:t>
        </w:r>
      </w:hyperlink>
    </w:p>
    <w:p>
      <w:pPr>
        <w:numPr>
          <w:ilvl w:val="0"/>
          <w:numId w:val="1015"/>
        </w:numPr>
      </w:pPr>
      <w:hyperlink r:id="rId57">
        <w:r>
          <w:rPr>
            <w:rStyle w:val="Hyperlink"/>
            <w:color w:val="0856A0"/>
            <w:u w:val="single"/>
          </w:rPr>
          <w:t xml:space="preserve">Recommandations</w:t>
        </w:r>
      </w:hyperlink>
    </w:p>
    <w:p>
      <w:pPr>
        <w:numPr>
          <w:ilvl w:val="0"/>
          <w:numId w:val="1015"/>
        </w:numPr>
      </w:pPr>
      <w:hyperlink r:id="rId58">
        <w:r>
          <w:rPr>
            <w:rStyle w:val="Hyperlink"/>
            <w:color w:val="0856A0"/>
            <w:u w:val="single"/>
          </w:rPr>
          <w:t xml:space="preserve">Bibliographie</w:t>
        </w:r>
      </w:hyperlink>
    </w:p>
    <w:bookmarkEnd w:id="59"/>
    <w:bookmarkEnd w:id="60"/>
    <w:bookmarkEnd w:id="61"/>
    <w:bookmarkStart w:id="62"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 protection des mains Rincer et sécher les mains après utilisation. En cas de contact prolongé, une protection de la peau peut être nécessaire.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 écrans faciaux Les lunettes de sécurité ne sont pas normalement requises. Toutefois, leur utilisation est recommandée dans les cas où des éclaboussures peuvent se produire lors de la manipulation du produit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w:t>
            </w:r>
          </w:p>
        </w:tc>
      </w:tr>
    </w:tbl>
    <w:bookmarkEnd w:id="62"/>
    <w:bookmarkStart w:id="6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Pas de précautions spéciales requises.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Stocker conformément aux réglementations locales et nationales. - Tenir hors de portée des enfants. - Conserver uniquement dans le récipient d’origine. - Stocker dans un récipient fermé. - Pour les conditions à éviter, voir le paragraphe 10.4. - Pour les matières incompatibles, voir le paragraphe 10.5.</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 Nettoyant tous usages (procédé manuel) – AISE-P301 - Nettoyant sols (procédé semi-automatique) – AISE-P401 - Nettoyant sols (procédé manuel) – AISE-P403 - Nettoyants de surface (liquide, poudre, gel pur) pour usage domestique – AISE-C7 [2]</w:t>
            </w:r>
          </w:p>
        </w:tc>
      </w:tr>
    </w:tbl>
    <w:bookmarkEnd w:id="63"/>
    <w:bookmarkEnd w:id="6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50" Type="http://schemas.openxmlformats.org/officeDocument/2006/relationships/hyperlink" Target="https://www.inrs.fr/publications/bdd/fichetox/fiche.html?refINRS=FICHETOX_243" TargetMode="External"/><Relationship Id="rId53" Type="http://schemas.openxmlformats.org/officeDocument/2006/relationships/hyperlink" Target="https://www.inrs.fr/publications/bdd/fichetox/fiche.html?refINRS=FICHETOX_243&amp;section=VLEPMesurage" TargetMode="External"/><Relationship Id="rId58" Type="http://schemas.openxmlformats.org/officeDocument/2006/relationships/hyperlink" Target="https://www.inrs.fr/publications/bdd/fichetox/fiche.html?refINRS=FICHETOX_243&amp;section=bibliographieAuteurs" TargetMode="External"/><Relationship Id="rId52" Type="http://schemas.openxmlformats.org/officeDocument/2006/relationships/hyperlink" Target="https://www.inrs.fr/publications/bdd/fichetox/fiche.html?refINRS=FICHETOX_243&amp;section=caracteristiques" TargetMode="External"/><Relationship Id="rId51" Type="http://schemas.openxmlformats.org/officeDocument/2006/relationships/hyperlink" Target="https://www.inrs.fr/publications/bdd/fichetox/fiche.html?refINRS=FICHETOX_243&amp;section=generalites" TargetMode="External"/><Relationship Id="rId54" Type="http://schemas.openxmlformats.org/officeDocument/2006/relationships/hyperlink" Target="https://www.inrs.fr/publications/bdd/fichetox/fiche.html?refINRS=FICHETOX_243&amp;section=incendieExplosion" TargetMode="External"/><Relationship Id="rId55" Type="http://schemas.openxmlformats.org/officeDocument/2006/relationships/hyperlink" Target="https://www.inrs.fr/publications/bdd/fichetox/fiche.html?refINRS=FICHETOX_243&amp;section=pathologieToxicologie" TargetMode="External"/><Relationship Id="rId57" Type="http://schemas.openxmlformats.org/officeDocument/2006/relationships/hyperlink" Target="https://www.inrs.fr/publications/bdd/fichetox/fiche.html?refINRS=FICHETOX_243&amp;section=recommandations" TargetMode="External"/><Relationship Id="rId56" Type="http://schemas.openxmlformats.org/officeDocument/2006/relationships/hyperlink" Target="https://www.inrs.fr/publications/bdd/fichetox/fiche.html?refINRS=FICHETOX_243&amp;section=reglementation" TargetMode="External"/><Relationship Id="rId37" Type="http://schemas.openxmlformats.org/officeDocument/2006/relationships/hyperlink" Target="https://www.inrs.fr/publications/bdd/fichetox/fiche.html?refINRS=FICHETOX_254" TargetMode="External"/><Relationship Id="rId40" Type="http://schemas.openxmlformats.org/officeDocument/2006/relationships/hyperlink" Target="https://www.inrs.fr/publications/bdd/fichetox/fiche.html?refINRS=FICHETOX_254&amp;section=VLEPMesurage" TargetMode="External"/><Relationship Id="rId45" Type="http://schemas.openxmlformats.org/officeDocument/2006/relationships/hyperlink" Target="https://www.inrs.fr/publications/bdd/fichetox/fiche.html?refINRS=FICHETOX_254&amp;section=bibliographieAuteurs" TargetMode="External"/><Relationship Id="rId39" Type="http://schemas.openxmlformats.org/officeDocument/2006/relationships/hyperlink" Target="https://www.inrs.fr/publications/bdd/fichetox/fiche.html?refINRS=FICHETOX_254&amp;section=caracteristiques" TargetMode="External"/><Relationship Id="rId38" Type="http://schemas.openxmlformats.org/officeDocument/2006/relationships/hyperlink" Target="https://www.inrs.fr/publications/bdd/fichetox/fiche.html?refINRS=FICHETOX_254&amp;section=generalites" TargetMode="External"/><Relationship Id="rId41" Type="http://schemas.openxmlformats.org/officeDocument/2006/relationships/hyperlink" Target="https://www.inrs.fr/publications/bdd/fichetox/fiche.html?refINRS=FICHETOX_254&amp;section=incendieExplosion" TargetMode="External"/><Relationship Id="rId42" Type="http://schemas.openxmlformats.org/officeDocument/2006/relationships/hyperlink" Target="https://www.inrs.fr/publications/bdd/fichetox/fiche.html?refINRS=FICHETOX_254&amp;section=pathologieToxicologie" TargetMode="External"/><Relationship Id="rId44" Type="http://schemas.openxmlformats.org/officeDocument/2006/relationships/hyperlink" Target="https://www.inrs.fr/publications/bdd/fichetox/fiche.html?refINRS=FICHETOX_254&amp;section=recommandations" TargetMode="External"/><Relationship Id="rId43" Type="http://schemas.openxmlformats.org/officeDocument/2006/relationships/hyperlink" Target="https://www.inrs.fr/publications/bdd/fichetox/fiche.html?refINRS=FICHETOX_254&amp;section=reglementation" TargetMode="External"/></Relationships>
</file>

<file path=word/_rels/footnotes.xml.rels><?xml version='1.0' encoding='UTF-8' standalone='yes'?>
<Relationships xmlns="http://schemas.openxmlformats.org/package/2006/relationships"><Relationship Id="rId50" Type="http://schemas.openxmlformats.org/officeDocument/2006/relationships/hyperlink" Target="https://www.inrs.fr/publications/bdd/fichetox/fiche.html?refINRS=FICHETOX_243" TargetMode="External"/><Relationship Id="rId53" Type="http://schemas.openxmlformats.org/officeDocument/2006/relationships/hyperlink" Target="https://www.inrs.fr/publications/bdd/fichetox/fiche.html?refINRS=FICHETOX_243&amp;section=VLEPMesurage" TargetMode="External"/><Relationship Id="rId58" Type="http://schemas.openxmlformats.org/officeDocument/2006/relationships/hyperlink" Target="https://www.inrs.fr/publications/bdd/fichetox/fiche.html?refINRS=FICHETOX_243&amp;section=bibliographieAuteurs" TargetMode="External"/><Relationship Id="rId52" Type="http://schemas.openxmlformats.org/officeDocument/2006/relationships/hyperlink" Target="https://www.inrs.fr/publications/bdd/fichetox/fiche.html?refINRS=FICHETOX_243&amp;section=caracteristiques" TargetMode="External"/><Relationship Id="rId51" Type="http://schemas.openxmlformats.org/officeDocument/2006/relationships/hyperlink" Target="https://www.inrs.fr/publications/bdd/fichetox/fiche.html?refINRS=FICHETOX_243&amp;section=generalites" TargetMode="External"/><Relationship Id="rId54" Type="http://schemas.openxmlformats.org/officeDocument/2006/relationships/hyperlink" Target="https://www.inrs.fr/publications/bdd/fichetox/fiche.html?refINRS=FICHETOX_243&amp;section=incendieExplosion" TargetMode="External"/><Relationship Id="rId55" Type="http://schemas.openxmlformats.org/officeDocument/2006/relationships/hyperlink" Target="https://www.inrs.fr/publications/bdd/fichetox/fiche.html?refINRS=FICHETOX_243&amp;section=pathologieToxicologie" TargetMode="External"/><Relationship Id="rId57" Type="http://schemas.openxmlformats.org/officeDocument/2006/relationships/hyperlink" Target="https://www.inrs.fr/publications/bdd/fichetox/fiche.html?refINRS=FICHETOX_243&amp;section=recommandations" TargetMode="External"/><Relationship Id="rId56" Type="http://schemas.openxmlformats.org/officeDocument/2006/relationships/hyperlink" Target="https://www.inrs.fr/publications/bdd/fichetox/fiche.html?refINRS=FICHETOX_243&amp;section=reglementation" TargetMode="External"/><Relationship Id="rId37" Type="http://schemas.openxmlformats.org/officeDocument/2006/relationships/hyperlink" Target="https://www.inrs.fr/publications/bdd/fichetox/fiche.html?refINRS=FICHETOX_254" TargetMode="External"/><Relationship Id="rId40" Type="http://schemas.openxmlformats.org/officeDocument/2006/relationships/hyperlink" Target="https://www.inrs.fr/publications/bdd/fichetox/fiche.html?refINRS=FICHETOX_254&amp;section=VLEPMesurage" TargetMode="External"/><Relationship Id="rId45" Type="http://schemas.openxmlformats.org/officeDocument/2006/relationships/hyperlink" Target="https://www.inrs.fr/publications/bdd/fichetox/fiche.html?refINRS=FICHETOX_254&amp;section=bibliographieAuteurs" TargetMode="External"/><Relationship Id="rId39" Type="http://schemas.openxmlformats.org/officeDocument/2006/relationships/hyperlink" Target="https://www.inrs.fr/publications/bdd/fichetox/fiche.html?refINRS=FICHETOX_254&amp;section=caracteristiques" TargetMode="External"/><Relationship Id="rId38" Type="http://schemas.openxmlformats.org/officeDocument/2006/relationships/hyperlink" Target="https://www.inrs.fr/publications/bdd/fichetox/fiche.html?refINRS=FICHETOX_254&amp;section=generalites" TargetMode="External"/><Relationship Id="rId41" Type="http://schemas.openxmlformats.org/officeDocument/2006/relationships/hyperlink" Target="https://www.inrs.fr/publications/bdd/fichetox/fiche.html?refINRS=FICHETOX_254&amp;section=incendieExplosion" TargetMode="External"/><Relationship Id="rId42" Type="http://schemas.openxmlformats.org/officeDocument/2006/relationships/hyperlink" Target="https://www.inrs.fr/publications/bdd/fichetox/fiche.html?refINRS=FICHETOX_254&amp;section=pathologieToxicologie" TargetMode="External"/><Relationship Id="rId44" Type="http://schemas.openxmlformats.org/officeDocument/2006/relationships/hyperlink" Target="https://www.inrs.fr/publications/bdd/fichetox/fiche.html?refINRS=FICHETOX_254&amp;section=recommandations" TargetMode="External"/><Relationship Id="rId43" Type="http://schemas.openxmlformats.org/officeDocument/2006/relationships/hyperlink" Target="https://www.inrs.fr/publications/bdd/fichetox/fiche.html?refINRS=FICHETOX_254&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2026-04-01T19:07:54Z</dcterms:created>
  <dcterms:modified xsi:type="dcterms:W3CDTF">2026-04-01T19:07:54Z</dcterms:modified>
</cp:coreProperties>
</file>

<file path=docProps/custom.xml><?xml version="1.0" encoding="utf-8"?>
<Properties xmlns="http://schemas.openxmlformats.org/officeDocument/2006/custom-properties" xmlns:vt="http://schemas.openxmlformats.org/officeDocument/2006/docPropsVTypes"/>
</file>