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sdt>
      <w:sdtPr>
        <w:docPartObj>
          <w:docPartGallery w:val="Table of Contents"/>
          <w:docPartUnique/>
        </w:docPartObj>
      </w:sdtPr>
      <w:sdtContent>
        <w:p>
          <w:pPr>
            <w:pStyle w:val="TOCHeading"/>
          </w:pPr>
          <w:r>
            <w:t xml:space="preserve">Table of Contents</w:t>
          </w:r>
        </w:p>
        <w:p>
          <w:r>
            <w:fldChar w:fldCharType="begin" w:dirty="true"/>
            <w:instrText xml:space="preserve">TOC \o "1-3" \h \z \u</w:instrText>
            <w:fldChar w:fldCharType="separate"/>
            <w:fldChar w:fldCharType="end"/>
          </w:r>
        </w:p>
      </w:sdtContent>
    </w:sdt>
    <w:p>
      <w:r>
        <w:br w:type="page"/>
      </w:r>
    </w:p>
    <w:tbl>
      <w:tblPr>
        <w:tblStyle w:val="TableGrid"/>
        <w:tblW w:type="pct" w:w="5000"/>
        <w:jc w:val="left"/>
        <w:tblLayout w:type="autofit"/>
        <w:tblLook w:firstRow="1" w:lastRow="0" w:firstColumn="0" w:lastColumn="0" w:noHBand="0" w:noVBand="1" w:val="000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960"/>
        <w:gridCol w:w="3960"/>
      </w:tblGrid>
      <w:tr>
        <w:tc>
          <w:tcPr/>
          <w:p>
            <w:pPr>
              <w:pStyle w:val="Compact"/>
              <w:rPr>
                <w:sz w:val="20"/>
                <w:szCs w:val="20"/>
              </w:rPr>
            </w:pPr>
            <w:r>
              <w:rPr>
                <w:sz w:val="20"/>
                <w:szCs w:val="20"/>
              </w:rPr>
              <w:t xml:space="preserve">Tilte</w:t>
            </w:r>
          </w:p>
        </w:tc>
        <w:tc>
          <w:tcPr/>
          <w:p>
            <w:pPr>
              <w:pStyle w:val="Compact"/>
              <w:rPr>
                <w:sz w:val="20"/>
                <w:szCs w:val="20"/>
              </w:rPr>
            </w:pPr>
            <w:r>
              <w:rPr>
                <w:sz w:val="20"/>
                <w:szCs w:val="20"/>
              </w:rPr>
              <w:t xml:space="preserve">EmilIA – Analyse des dangers du produit diversey-jdsprint200tub-grez-hain-vlv-watok</w:t>
            </w:r>
          </w:p>
        </w:tc>
      </w:tr>
      <w:tr>
        <w:tc>
          <w:tcPr/>
          <w:p>
            <w:pPr>
              <w:pStyle w:val="Compact"/>
              <w:rPr>
                <w:sz w:val="20"/>
                <w:szCs w:val="20"/>
              </w:rPr>
            </w:pPr>
            <w:r>
              <w:rPr>
                <w:sz w:val="20"/>
                <w:szCs w:val="20"/>
              </w:rPr>
              <w:t xml:space="preserve">Company</w:t>
            </w:r>
          </w:p>
        </w:tc>
        <w:tc>
          <w:tcPr/>
          <w:p>
            <w:pPr>
              <w:pStyle w:val="Compact"/>
              <w:rPr>
                <w:sz w:val="20"/>
                <w:szCs w:val="20"/>
              </w:rPr>
            </w:pPr>
            <w:r>
              <w:rPr>
                <w:sz w:val="20"/>
                <w:szCs w:val="20"/>
              </w:rPr>
              <w:t xml:space="preserve">Diversey Europe Operations BV</w:t>
            </w:r>
          </w:p>
        </w:tc>
      </w:tr>
      <w:tr>
        <w:tc>
          <w:tcPr/>
          <w:p>
            <w:pPr>
              <w:pStyle w:val="Compact"/>
              <w:rPr>
                <w:sz w:val="20"/>
                <w:szCs w:val="20"/>
              </w:rPr>
            </w:pPr>
            <w:r>
              <w:rPr>
                <w:sz w:val="20"/>
                <w:szCs w:val="20"/>
              </w:rPr>
              <w:t xml:space="preserve">Date</w:t>
            </w:r>
          </w:p>
        </w:tc>
        <w:tc>
          <w:tcPr/>
          <w:p>
            <w:pPr>
              <w:pStyle w:val="Compact"/>
              <w:rPr>
                <w:sz w:val="20"/>
                <w:szCs w:val="20"/>
              </w:rPr>
            </w:pPr>
            <w:r>
              <w:rPr>
                <w:sz w:val="20"/>
                <w:szCs w:val="20"/>
              </w:rPr>
              <w:t xml:space="preserve">2026-04-01</w:t>
            </w:r>
          </w:p>
        </w:tc>
      </w:tr>
      <w:tr>
        <w:tc>
          <w:tcPr/>
          <w:p>
            <w:pPr>
              <w:pStyle w:val="Compact"/>
              <w:rPr>
                <w:sz w:val="20"/>
                <w:szCs w:val="20"/>
              </w:rPr>
            </w:pPr>
            <w:r>
              <w:rPr>
                <w:sz w:val="20"/>
                <w:szCs w:val="20"/>
              </w:rPr>
              <w:t xml:space="preserve">Version</w:t>
            </w:r>
          </w:p>
        </w:tc>
        <w:tc>
          <w:tcPr/>
          <w:p>
            <w:pPr>
              <w:pStyle w:val="Compact"/>
              <w:rPr>
                <w:sz w:val="20"/>
                <w:szCs w:val="20"/>
              </w:rPr>
            </w:pPr>
            <w:r>
              <w:rPr>
                <w:sz w:val="20"/>
                <w:szCs w:val="20"/>
              </w:rPr>
              <w:t xml:space="preserve">Rev0</w:t>
            </w:r>
          </w:p>
        </w:tc>
      </w:tr>
      <w:tr>
        <w:tc>
          <w:tcPr/>
          <w:p>
            <w:pPr>
              <w:pStyle w:val="Compact"/>
              <w:rPr>
                <w:sz w:val="20"/>
                <w:szCs w:val="20"/>
              </w:rPr>
            </w:pPr>
            <w:r>
              <w:rPr>
                <w:sz w:val="20"/>
                <w:szCs w:val="20"/>
              </w:rPr>
              <w:t xml:space="preserve">Auteur</w:t>
            </w:r>
          </w:p>
        </w:tc>
        <w:tc>
          <w:tcPr/>
          <w:p>
            <w:pPr>
              <w:pStyle w:val="Compact"/>
              <w:rPr>
                <w:sz w:val="20"/>
                <w:szCs w:val="20"/>
              </w:rPr>
            </w:pPr>
            <w:r>
              <w:rPr>
                <w:sz w:val="20"/>
                <w:szCs w:val="20"/>
              </w:rPr>
              <w:t xml:space="preserve">Emilia 0.6.0</w:t>
            </w:r>
          </w:p>
        </w:tc>
      </w:tr>
      <w:tr>
        <w:tc>
          <w:tcPr/>
          <w:p>
            <w:pPr>
              <w:pStyle w:val="Compact"/>
              <w:rPr>
                <w:sz w:val="20"/>
                <w:szCs w:val="20"/>
              </w:rPr>
            </w:pPr>
          </w:p>
        </w:tc>
        <w:tc>
          <w:tcPr/>
          <w:p>
            <w:pPr>
              <w:pStyle w:val="Compact"/>
              <w:rPr>
                <w:sz w:val="20"/>
                <w:szCs w:val="20"/>
              </w:rPr>
            </w:pPr>
          </w:p>
        </w:tc>
      </w:tr>
      <w:tr>
        <w:tc>
          <w:tcPr/>
          <w:p>
            <w:pPr>
              <w:pStyle w:val="Compact"/>
              <w:rPr>
                <w:sz w:val="20"/>
                <w:szCs w:val="20"/>
              </w:rPr>
            </w:pPr>
            <w:r>
              <w:rPr>
                <w:sz w:val="20"/>
                <w:szCs w:val="20"/>
              </w:rPr>
              <w:drawing>
                <wp:inline>
                  <wp:extent cx="2159999" cy="592098"/>
                  <wp:effectExtent b="0" l="0" r="0" t="0"/>
                  <wp:docPr descr="Modyva Logo" title="" id="21" name="Picture"/>
                  <a:graphic>
                    <a:graphicData uri="http://schemas.openxmlformats.org/drawingml/2006/picture">
                      <pic:pic>
                        <pic:nvPicPr>
                          <pic:cNvPr descr="templates/modyva.png" id="22" name="Picture"/>
                          <pic:cNvPicPr>
                            <a:picLocks noChangeArrowheads="1" noChangeAspect="1"/>
                          </pic:cNvPicPr>
                        </pic:nvPicPr>
                        <pic:blipFill>
                          <a:blip r:embed="rId20"/>
                          <a:stretch>
                            <a:fillRect/>
                          </a:stretch>
                        </pic:blipFill>
                        <pic:spPr bwMode="auto">
                          <a:xfrm>
                            <a:off x="0" y="0"/>
                            <a:ext cx="2159999" cy="592098"/>
                          </a:xfrm>
                          <a:prstGeom prst="rect">
                            <a:avLst/>
                          </a:prstGeom>
                          <a:noFill/>
                          <a:ln w="9525">
                            <a:noFill/>
                            <a:headEnd/>
                            <a:tailEnd/>
                          </a:ln>
                        </pic:spPr>
                      </pic:pic>
                    </a:graphicData>
                  </a:graphic>
                </wp:inline>
              </w:drawing>
            </w:r>
          </w:p>
        </w:tc>
        <w:tc>
          <w:tcPr/>
          <w:p>
            <w:pPr>
              <w:pStyle w:val="Compact"/>
              <w:rPr>
                <w:sz w:val="20"/>
                <w:szCs w:val="20"/>
              </w:rPr>
            </w:pPr>
            <w:r>
              <w:rPr>
                <w:sz w:val="20"/>
                <w:szCs w:val="20"/>
              </w:rPr>
              <w:drawing>
                <wp:inline>
                  <wp:extent cx="2159999" cy="848259"/>
                  <wp:effectExtent b="0" l="0" r="0" t="0"/>
                  <wp:docPr descr="Cohezio Logo" title="" id="24" name="Picture"/>
                  <a:graphic>
                    <a:graphicData uri="http://schemas.openxmlformats.org/drawingml/2006/picture">
                      <pic:pic>
                        <pic:nvPicPr>
                          <pic:cNvPr descr="templates/cohezio.png" id="25" name="Picture"/>
                          <pic:cNvPicPr>
                            <a:picLocks noChangeArrowheads="1" noChangeAspect="1"/>
                          </pic:cNvPicPr>
                        </pic:nvPicPr>
                        <pic:blipFill>
                          <a:blip r:embed="rId23"/>
                          <a:stretch>
                            <a:fillRect/>
                          </a:stretch>
                        </pic:blipFill>
                        <pic:spPr bwMode="auto">
                          <a:xfrm>
                            <a:off x="0" y="0"/>
                            <a:ext cx="2159999" cy="848259"/>
                          </a:xfrm>
                          <a:prstGeom prst="rect">
                            <a:avLst/>
                          </a:prstGeom>
                          <a:noFill/>
                          <a:ln w="9525">
                            <a:noFill/>
                            <a:headEnd/>
                            <a:tailEnd/>
                          </a:ln>
                        </pic:spPr>
                      </pic:pic>
                    </a:graphicData>
                  </a:graphic>
                </wp:inline>
              </w:drawing>
            </w:r>
          </w:p>
        </w:tc>
      </w:tr>
    </w:tbl>
    <w:p>
      <w:r>
        <w:br w:type="page"/>
      </w:r>
    </w:p>
    <w:bookmarkStart w:id="26" w:name="introduction"/>
    <w:p>
      <w:pPr>
        <w:pStyle w:val="Heading1"/>
      </w:pPr>
      <w:r>
        <w:t xml:space="preserve">Introduction</w:t>
      </w:r>
    </w:p>
    <w:p>
      <w:pPr>
        <w:pStyle w:val="FirstParagraph"/>
      </w:pPr>
      <w:r>
        <w:t xml:space="preserve">Le présent rapport analyse les dangers intrinsèques du produit</w:t>
      </w:r>
      <w:r>
        <w:t xml:space="preserve"> </w:t>
      </w:r>
      <w:r>
        <w:rPr>
          <w:b/>
          <w:bCs/>
        </w:rPr>
        <w:t xml:space="preserve">diversey-jdsprint200tub-grez-hain-vlv-watok</w:t>
      </w:r>
      <w:r>
        <w:t xml:space="preserve">.</w:t>
      </w:r>
    </w:p>
    <w:p>
      <w:pPr>
        <w:pStyle w:val="BodyText"/>
      </w:pPr>
      <w:r>
        <w:t xml:space="preserve">L’analyse vise à répondre aux questions suivantes :</w:t>
      </w:r>
    </w:p>
    <w:p>
      <w:pPr>
        <w:pStyle w:val="Compact"/>
        <w:numPr>
          <w:ilvl w:val="0"/>
          <w:numId w:val="1001"/>
        </w:numPr>
      </w:pPr>
      <w:r>
        <w:t xml:space="preserve">Quels sont les dangers associés au produit et à ses substances ?</w:t>
      </w:r>
    </w:p>
    <w:p>
      <w:pPr>
        <w:pStyle w:val="Compact"/>
        <w:numPr>
          <w:ilvl w:val="0"/>
          <w:numId w:val="1001"/>
        </w:numPr>
      </w:pPr>
      <w:r>
        <w:t xml:space="preserve">Les substances présentes sont-elles soumises à des valeurs limites d’exposition ou à des classifications particulières (CMR, SEVESO, …) ?</w:t>
      </w:r>
    </w:p>
    <w:p>
      <w:pPr>
        <w:pStyle w:val="Compact"/>
        <w:numPr>
          <w:ilvl w:val="0"/>
          <w:numId w:val="1001"/>
        </w:numPr>
      </w:pPr>
      <w:r>
        <w:t xml:space="preserve">Quels sont les dangers pour la santé connus pour ces différentes substances ?</w:t>
      </w:r>
    </w:p>
    <w:p>
      <w:pPr>
        <w:pStyle w:val="Compact"/>
        <w:numPr>
          <w:ilvl w:val="0"/>
          <w:numId w:val="1001"/>
        </w:numPr>
      </w:pPr>
      <w:r>
        <w:t xml:space="preserve">Est-ce que la FDS reçue présente potentiellement des erreurs (obsolescence, changements dans les classifications de l’ECHA, …) ?</w:t>
      </w:r>
    </w:p>
    <w:p>
      <w:pPr>
        <w:pStyle w:val="Compact"/>
        <w:numPr>
          <w:ilvl w:val="0"/>
          <w:numId w:val="1001"/>
        </w:numPr>
      </w:pPr>
      <w:r>
        <w:t xml:space="preserve">Quelles mesures de prévention doivent être envisagées lors de l’utilisation de ce produit ?</w:t>
      </w:r>
    </w:p>
    <w:p>
      <w:pPr>
        <w:pStyle w:val="FirstParagraph"/>
      </w:pPr>
      <w:r>
        <w:t xml:space="preserve">La fiche de données de sécurité (FDS) a été traitée à l’aide de l’outil d’intelligence artificielle</w:t>
      </w:r>
      <w:r>
        <w:t xml:space="preserve"> </w:t>
      </w:r>
      <w:r>
        <w:rPr>
          <w:b/>
          <w:bCs/>
        </w:rPr>
        <w:t xml:space="preserve">EmilIA</w:t>
      </w:r>
      <w:r>
        <w:t xml:space="preserve"> </w:t>
      </w:r>
      <w:r>
        <w:t xml:space="preserve">développé par</w:t>
      </w:r>
      <w:r>
        <w:t xml:space="preserve"> </w:t>
      </w:r>
      <w:r>
        <w:rPr>
          <w:b/>
          <w:bCs/>
        </w:rPr>
        <w:t xml:space="preserve">Modyva</w:t>
      </w:r>
      <w:r>
        <w:t xml:space="preserve">. Les résultats ont été revus et contrôlés par Modyva.</w:t>
      </w:r>
      <w:r>
        <w:br/>
      </w:r>
      <w:r>
        <w:t xml:space="preserve">L’analyse se limite à une analyse des dangers. L’exposition au risque basée sur les conditions réelles d’utilisation in-situ n’a pas été évaluée.</w:t>
      </w:r>
    </w:p>
    <w:p>
      <w:pPr>
        <w:pStyle w:val="BodyText"/>
      </w:pPr>
      <w:r>
        <w:t xml:space="preserve">Cette étude est basée sur les prescriptions et recommandations suivantes :</w:t>
      </w:r>
    </w:p>
    <w:p>
      <w:pPr>
        <w:pStyle w:val="Compact"/>
        <w:numPr>
          <w:ilvl w:val="0"/>
          <w:numId w:val="1002"/>
        </w:numPr>
      </w:pPr>
      <w:r>
        <w:t xml:space="preserve">LIVRE VI — Agents chimiques, cancérigènes, mutagènes et reprotoxiques</w:t>
      </w:r>
    </w:p>
    <w:p>
      <w:pPr>
        <w:pStyle w:val="Compact"/>
        <w:numPr>
          <w:ilvl w:val="0"/>
          <w:numId w:val="1002"/>
        </w:numPr>
      </w:pPr>
      <w:r>
        <w:t xml:space="preserve">Fiches toxicologiques de l’INRS</w:t>
      </w:r>
    </w:p>
    <w:p>
      <w:pPr>
        <w:pStyle w:val="Compact"/>
        <w:numPr>
          <w:ilvl w:val="0"/>
          <w:numId w:val="1002"/>
        </w:numPr>
      </w:pPr>
      <w:r>
        <w:t xml:space="preserve">Directive 2012/18/UE (SEVESO)</w:t>
      </w:r>
    </w:p>
    <w:p>
      <w:pPr>
        <w:pStyle w:val="Compact"/>
        <w:numPr>
          <w:ilvl w:val="0"/>
          <w:numId w:val="1002"/>
        </w:numPr>
      </w:pPr>
      <w:r>
        <w:t xml:space="preserve">Règlement (CE) 1272/2008 (CLP)</w:t>
      </w:r>
    </w:p>
    <w:p>
      <w:pPr>
        <w:pStyle w:val="Compact"/>
        <w:numPr>
          <w:ilvl w:val="0"/>
          <w:numId w:val="1002"/>
        </w:numPr>
      </w:pPr>
      <w:r>
        <w:t xml:space="preserve">Règlement (CE) 1907/2006 (REACH) — Annexe XVII / Annexe XIV</w:t>
      </w:r>
    </w:p>
    <w:p>
      <w:pPr>
        <w:pStyle w:val="Compact"/>
        <w:numPr>
          <w:ilvl w:val="0"/>
          <w:numId w:val="1002"/>
        </w:numPr>
      </w:pPr>
      <w:r>
        <w:t xml:space="preserve">Règlement (UE) 2019/1021 (POP)</w:t>
      </w:r>
    </w:p>
    <w:p>
      <w:pPr>
        <w:pStyle w:val="Compact"/>
        <w:numPr>
          <w:ilvl w:val="0"/>
          <w:numId w:val="1002"/>
        </w:numPr>
      </w:pPr>
      <w:r>
        <w:t xml:space="preserve">Règlement (UE) 528/2012 (Biocides)</w:t>
      </w:r>
    </w:p>
    <w:p>
      <w:r>
        <w:br w:type="page"/>
      </w:r>
    </w:p>
    <w:bookmarkEnd w:id="26"/>
    <w:bookmarkStart w:id="53" w:name="X746e3db0af9d1db6271938667d3c42507e1d826"/>
    <w:p>
      <w:pPr>
        <w:pStyle w:val="Heading1"/>
      </w:pPr>
      <w:r>
        <w:t xml:space="preserve">Analyse des dangers : diversey-jdsprint200tub-grez-hain-vlv-watok</w:t>
      </w:r>
    </w:p>
    <w:p>
      <w:pPr>
        <w:pStyle w:val="FirstParagraph"/>
      </w:pPr>
      <w:r>
        <w:t xml:space="preserve">Dans la suite, nous détaillons les dangers associés au produit</w:t>
      </w:r>
      <w:r>
        <w:t xml:space="preserve"> </w:t>
      </w:r>
      <w:r>
        <w:rPr>
          <w:b/>
          <w:bCs/>
        </w:rPr>
        <w:t xml:space="preserve">diversey-jdsprint200tub-grez-hain-vlv-watok</w:t>
      </w:r>
      <w:r>
        <w:t xml:space="preserve">, les éléments potentiellement erronés ou obsolètes relevés dans la FDS, les classifications des différentes substances présentes et les protections individuelles à envisager.</w:t>
      </w:r>
    </w:p>
    <w:bookmarkStart w:id="27" w:name="X8dba009bd9247913838556218799ec0ac58d74c"/>
    <w:p>
      <w:pPr>
        <w:pStyle w:val="Heading2"/>
      </w:pPr>
      <w:r>
        <w:t xml:space="preserve">Remarques préalables relatives au contenu de la FDS</w:t>
      </w:r>
    </w:p>
    <w:tbl>
      <w:tblPr>
        <w:tblStyle w:val="TableGrid"/>
        <w:tblW w:type="auto" w:w="0"/>
        <w:jc w:val="lef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autofit"/>
      </w:tblPr>
      <w:tblGrid>
        <w:gridCol w:w="3960"/>
        <w:gridCol w:w="3960"/>
      </w:tblGrid>
      <w:tr>
        <w:trPr>
          <w:tblHeader w:val="on"/>
        </w:trPr>
        <w:tc>
          <w:tcPr/>
          <w:p>
            <w:pPr>
              <w:pStyle w:val="Compact"/>
              <w:rPr>
                <w:sz w:val="20"/>
                <w:szCs w:val="20"/>
              </w:rPr>
            </w:pPr>
            <w:r>
              <w:rPr>
                <w:sz w:val="20"/>
                <w:szCs w:val="20"/>
              </w:rPr>
              <w:t xml:space="preserve">Propriété</w:t>
            </w:r>
          </w:p>
        </w:tc>
        <w:tc>
          <w:tcPr/>
          <w:p>
            <w:pPr>
              <w:pStyle w:val="Compact"/>
              <w:rPr>
                <w:sz w:val="20"/>
                <w:szCs w:val="20"/>
              </w:rPr>
            </w:pPr>
            <w:r>
              <w:rPr>
                <w:sz w:val="20"/>
                <w:szCs w:val="20"/>
              </w:rPr>
              <w:t xml:space="preserve">Valeur</w:t>
            </w:r>
          </w:p>
        </w:tc>
      </w:tr>
      <w:tr>
        <w:tc>
          <w:tcPr/>
          <w:p>
            <w:pPr>
              <w:pStyle w:val="Compact"/>
              <w:rPr>
                <w:sz w:val="20"/>
                <w:szCs w:val="20"/>
              </w:rPr>
            </w:pPr>
            <w:r>
              <w:rPr>
                <w:sz w:val="20"/>
                <w:szCs w:val="20"/>
              </w:rPr>
              <w:t xml:space="preserve">Fabriqué par</w:t>
            </w:r>
          </w:p>
        </w:tc>
        <w:tc>
          <w:tcPr/>
          <w:p>
            <w:pPr>
              <w:pStyle w:val="Compact"/>
              <w:rPr>
                <w:sz w:val="20"/>
                <w:szCs w:val="20"/>
              </w:rPr>
            </w:pPr>
            <w:r>
              <w:rPr>
                <w:sz w:val="20"/>
                <w:szCs w:val="20"/>
              </w:rPr>
              <w:t xml:space="preserve">Diversey Europe Operations BV</w:t>
            </w:r>
          </w:p>
        </w:tc>
      </w:tr>
      <w:tr>
        <w:tc>
          <w:tcPr/>
          <w:p>
            <w:pPr>
              <w:pStyle w:val="Compact"/>
              <w:rPr>
                <w:sz w:val="20"/>
                <w:szCs w:val="20"/>
              </w:rPr>
            </w:pPr>
            <w:r>
              <w:rPr>
                <w:sz w:val="20"/>
                <w:szCs w:val="20"/>
              </w:rPr>
              <w:t xml:space="preserve">État physique</w:t>
            </w:r>
          </w:p>
        </w:tc>
        <w:tc>
          <w:tcPr/>
          <w:p>
            <w:pPr>
              <w:pStyle w:val="Compact"/>
              <w:rPr>
                <w:sz w:val="20"/>
                <w:szCs w:val="20"/>
              </w:rPr>
            </w:pPr>
            <w:r>
              <w:rPr>
                <w:sz w:val="20"/>
                <w:szCs w:val="20"/>
              </w:rPr>
              <w:t xml:space="preserve">liquide</w:t>
            </w:r>
          </w:p>
        </w:tc>
      </w:tr>
      <w:tr>
        <w:tc>
          <w:tcPr/>
          <w:p>
            <w:pPr>
              <w:pStyle w:val="Compact"/>
              <w:rPr>
                <w:sz w:val="20"/>
                <w:szCs w:val="20"/>
              </w:rPr>
            </w:pPr>
            <w:r>
              <w:rPr>
                <w:sz w:val="20"/>
                <w:szCs w:val="20"/>
              </w:rPr>
              <w:t xml:space="preserve">Forme</w:t>
            </w:r>
          </w:p>
        </w:tc>
        <w:tc>
          <w:tcPr/>
          <w:p>
            <w:pPr>
              <w:pStyle w:val="Compact"/>
              <w:rPr>
                <w:sz w:val="20"/>
                <w:szCs w:val="20"/>
              </w:rPr>
            </w:pPr>
            <w:r>
              <w:rPr>
                <w:sz w:val="20"/>
                <w:szCs w:val="20"/>
              </w:rPr>
              <w:t xml:space="preserve">-</w:t>
            </w:r>
          </w:p>
        </w:tc>
      </w:tr>
      <w:tr>
        <w:tc>
          <w:tcPr/>
          <w:p>
            <w:pPr>
              <w:pStyle w:val="Compact"/>
              <w:rPr>
                <w:sz w:val="20"/>
                <w:szCs w:val="20"/>
              </w:rPr>
            </w:pPr>
            <w:r>
              <w:rPr>
                <w:sz w:val="20"/>
                <w:szCs w:val="20"/>
              </w:rPr>
              <w:t xml:space="preserve">pH</w:t>
            </w:r>
          </w:p>
        </w:tc>
        <w:tc>
          <w:tcPr/>
          <w:p>
            <w:pPr>
              <w:pStyle w:val="Compact"/>
              <w:rPr>
                <w:sz w:val="20"/>
                <w:szCs w:val="20"/>
              </w:rPr>
            </w:pPr>
            <w:r>
              <w:rPr>
                <w:sz w:val="20"/>
                <w:szCs w:val="20"/>
              </w:rPr>
              <w:t xml:space="preserve">6</w:t>
            </w:r>
          </w:p>
        </w:tc>
      </w:tr>
      <w:tr>
        <w:tc>
          <w:tcPr/>
          <w:p>
            <w:pPr>
              <w:pStyle w:val="Compact"/>
              <w:rPr>
                <w:sz w:val="20"/>
                <w:szCs w:val="20"/>
              </w:rPr>
            </w:pPr>
            <w:r>
              <w:rPr>
                <w:sz w:val="20"/>
                <w:szCs w:val="20"/>
              </w:rPr>
              <w:t xml:space="preserve">Usage</w:t>
            </w:r>
          </w:p>
        </w:tc>
        <w:tc>
          <w:tcPr/>
          <w:p>
            <w:pPr>
              <w:pStyle w:val="Compact"/>
              <w:rPr>
                <w:sz w:val="20"/>
                <w:szCs w:val="20"/>
              </w:rPr>
            </w:pPr>
            <w:r>
              <w:rPr>
                <w:sz w:val="20"/>
                <w:szCs w:val="20"/>
              </w:rPr>
              <w:t xml:space="preserve">Uniquement pour usage professionnel.</w:t>
            </w:r>
          </w:p>
        </w:tc>
      </w:tr>
      <w:tr>
        <w:tc>
          <w:tcPr/>
          <w:p>
            <w:pPr>
              <w:pStyle w:val="Compact"/>
              <w:rPr>
                <w:sz w:val="20"/>
                <w:szCs w:val="20"/>
              </w:rPr>
            </w:pPr>
            <w:r>
              <w:rPr>
                <w:sz w:val="20"/>
                <w:szCs w:val="20"/>
              </w:rPr>
              <w:t xml:space="preserve">Date FDS</w:t>
            </w:r>
          </w:p>
        </w:tc>
        <w:tc>
          <w:tcPr/>
          <w:p>
            <w:pPr>
              <w:pStyle w:val="Compact"/>
              <w:rPr>
                <w:sz w:val="20"/>
                <w:szCs w:val="20"/>
              </w:rPr>
            </w:pPr>
            <w:r>
              <w:rPr>
                <w:sz w:val="20"/>
                <w:szCs w:val="20"/>
              </w:rPr>
              <w:t xml:space="preserve">2017-12-26</w:t>
            </w:r>
          </w:p>
        </w:tc>
      </w:tr>
    </w:tbl>
    <w:p>
      <w:pPr>
        <w:pStyle w:val="BodyText"/>
      </w:pPr>
      <w:r>
        <w:t xml:space="preserve"> </w:t>
      </w:r>
      <w:r>
        <w:t xml:space="preserve">La FDS date du 2017-12-26. Elle a donc 8 an(s).</w:t>
      </w:r>
    </w:p>
    <w:p>
      <w:pPr>
        <w:pStyle w:val="BodyText"/>
      </w:pPr>
      <w:r>
        <w:t xml:space="preserve">La FDS ayant plus de 5 ans, il est</w:t>
      </w:r>
      <w:r>
        <w:t xml:space="preserve"> </w:t>
      </w:r>
      <w:r>
        <w:rPr>
          <w:i/>
          <w:iCs/>
        </w:rPr>
        <w:t xml:space="preserve">nécessaire</w:t>
      </w:r>
      <w:r>
        <w:t xml:space="preserve"> </w:t>
      </w:r>
      <w:r>
        <w:t xml:space="preserve">de demander au fournisseur de produire une FDS mise à jour.</w:t>
      </w:r>
    </w:p>
    <w:bookmarkEnd w:id="27"/>
    <w:bookmarkStart w:id="29" w:name="erreurs-de-classification"/>
    <w:p>
      <w:pPr>
        <w:pStyle w:val="Heading2"/>
      </w:pPr>
      <w:r>
        <w:t xml:space="preserve">Erreurs de classification</w:t>
      </w:r>
    </w:p>
    <w:bookmarkStart w:id="28" w:name="produit"/>
    <w:p>
      <w:pPr>
        <w:pStyle w:val="Heading3"/>
      </w:pPr>
      <w:r>
        <w:t xml:space="preserve">Produit</w:t>
      </w:r>
    </w:p>
    <w:p>
      <w:pPr>
        <w:pStyle w:val="FirstParagraph"/>
      </w:pPr>
      <w:r>
        <w:t xml:space="preserve">Emilia n’a pas identifié d’erreur de classification dans la FDS.</w:t>
      </w:r>
    </w:p>
    <w:bookmarkEnd w:id="28"/>
    <w:bookmarkEnd w:id="29"/>
    <w:bookmarkStart w:id="33" w:name="X8590ab4bbc4e90345d03c8c67bc0c03dd205453"/>
    <w:p>
      <w:pPr>
        <w:pStyle w:val="Heading2"/>
      </w:pPr>
      <w:r>
        <w:t xml:space="preserve">Dangers, conseils de prudence et classification pour le transport du produit</w:t>
      </w:r>
    </w:p>
    <w:p>
      <w:pPr>
        <w:pStyle w:val="FirstParagraph"/>
      </w:pPr>
      <w:r>
        <w:rPr>
          <w:b/>
          <w:bCs/>
        </w:rPr>
        <w:t xml:space="preserve">Mention d’avertissement</w:t>
      </w:r>
      <w:r>
        <w:t xml:space="preserve"> </w:t>
      </w:r>
      <w:r>
        <w:t xml:space="preserve">:</w:t>
      </w:r>
      <w:r>
        <w:t xml:space="preserve"> </w:t>
      </w:r>
      <w:r>
        <w:t xml:space="preserve">Attention</w:t>
      </w:r>
    </w:p>
    <w:p>
      <w:pPr>
        <w:pStyle w:val="BodyText"/>
      </w:pPr>
      <w:r>
        <w:rPr>
          <w:b/>
          <w:bCs/>
        </w:rPr>
        <w:t xml:space="preserve">Pictogrammes (SGH)</w:t>
      </w:r>
      <w:r>
        <w:t xml:space="preserve"> </w:t>
      </w:r>
      <w:r>
        <w:t xml:space="preserve">:</w:t>
      </w:r>
    </w:p>
    <w:p>
      <w:pPr>
        <w:pStyle w:val="BodyText"/>
      </w:pPr>
      <w:r>
        <w:drawing>
          <wp:inline>
            <wp:extent cx="719999" cy="719999"/>
            <wp:effectExtent b="0" l="0" r="0" t="0"/>
            <wp:docPr descr="Nocif / Irritant" title="" id="31" name="Picture"/>
            <a:graphic>
              <a:graphicData uri="http://schemas.openxmlformats.org/drawingml/2006/picture">
                <pic:pic>
                  <pic:nvPicPr>
                    <pic:cNvPr descr="templates/SGH07.png" id="32" name="Picture"/>
                    <pic:cNvPicPr>
                      <a:picLocks noChangeArrowheads="1" noChangeAspect="1"/>
                    </pic:cNvPicPr>
                  </pic:nvPicPr>
                  <pic:blipFill>
                    <a:blip r:embed="rId30"/>
                    <a:stretch>
                      <a:fillRect/>
                    </a:stretch>
                  </pic:blipFill>
                  <pic:spPr bwMode="auto">
                    <a:xfrm>
                      <a:off x="0" y="0"/>
                      <a:ext cx="719999" cy="719999"/>
                    </a:xfrm>
                    <a:prstGeom prst="rect">
                      <a:avLst/>
                    </a:prstGeom>
                    <a:noFill/>
                    <a:ln w="9525">
                      <a:noFill/>
                      <a:headEnd/>
                      <a:tailEnd/>
                    </a:ln>
                  </pic:spPr>
                </pic:pic>
              </a:graphicData>
            </a:graphic>
          </wp:inline>
        </w:drawing>
      </w:r>
      <w:r>
        <w:t xml:space="preserve">Nocif / Irritant</w:t>
      </w:r>
    </w:p>
    <w:p>
      <w:pPr>
        <w:pStyle w:val="BodyText"/>
      </w:pPr>
      <w:r>
        <w:rPr>
          <w:b/>
          <w:bCs/>
        </w:rPr>
        <w:t xml:space="preserve">Mentions de danger</w:t>
      </w:r>
      <w:r>
        <w:t xml:space="preserve"> </w:t>
      </w:r>
      <w:r>
        <w:t xml:space="preserve">:</w:t>
      </w:r>
    </w:p>
    <w:p>
      <w:pPr>
        <w:pStyle w:val="Compact"/>
        <w:numPr>
          <w:ilvl w:val="0"/>
          <w:numId w:val="1003"/>
        </w:numPr>
      </w:pPr>
      <w:r>
        <w:t xml:space="preserve">H319</w:t>
      </w:r>
      <w:r>
        <w:t xml:space="preserve"> </w:t>
      </w:r>
      <w:r>
        <w:t xml:space="preserve">Provoque une sévère irritation des yeux.</w:t>
      </w:r>
    </w:p>
    <w:p>
      <w:pPr>
        <w:pStyle w:val="FirstParagraph"/>
      </w:pPr>
      <w:r>
        <w:rPr>
          <w:b/>
          <w:bCs/>
        </w:rPr>
        <w:t xml:space="preserve">Conseils de prudence</w:t>
      </w:r>
      <w:r>
        <w:t xml:space="preserve"> </w:t>
      </w:r>
      <w:r>
        <w:t xml:space="preserve">:</w:t>
      </w:r>
    </w:p>
    <w:p>
      <w:pPr>
        <w:pStyle w:val="BodyText"/>
      </w:pPr>
      <w:r>
        <w:rPr>
          <w:b/>
          <w:bCs/>
        </w:rPr>
        <w:t xml:space="preserve">Transport</w:t>
      </w:r>
      <w:r>
        <w:t xml:space="preserve"> </w:t>
      </w:r>
      <w:r>
        <w:t xml:space="preserve">:</w:t>
      </w:r>
    </w:p>
    <w:p>
      <w:pPr>
        <w:pStyle w:val="Compact"/>
        <w:numPr>
          <w:ilvl w:val="0"/>
          <w:numId w:val="1004"/>
        </w:numPr>
      </w:pPr>
      <w:r>
        <w:t xml:space="preserve">ADR : pas disponible</w:t>
      </w:r>
    </w:p>
    <w:p>
      <w:pPr>
        <w:pStyle w:val="Compact"/>
        <w:numPr>
          <w:ilvl w:val="0"/>
          <w:numId w:val="1004"/>
        </w:numPr>
      </w:pPr>
      <w:r>
        <w:t xml:space="preserve">RID : pas disponible</w:t>
      </w:r>
    </w:p>
    <w:p>
      <w:pPr>
        <w:pStyle w:val="Compact"/>
        <w:numPr>
          <w:ilvl w:val="0"/>
          <w:numId w:val="1004"/>
        </w:numPr>
      </w:pPr>
      <w:r>
        <w:t xml:space="preserve">ADN : pas disponible</w:t>
      </w:r>
    </w:p>
    <w:p>
      <w:pPr>
        <w:pStyle w:val="Compact"/>
        <w:numPr>
          <w:ilvl w:val="0"/>
          <w:numId w:val="1004"/>
        </w:numPr>
      </w:pPr>
      <w:r>
        <w:t xml:space="preserve">IMDG : pas disponible</w:t>
      </w:r>
    </w:p>
    <w:p>
      <w:pPr>
        <w:pStyle w:val="Compact"/>
        <w:numPr>
          <w:ilvl w:val="0"/>
          <w:numId w:val="1004"/>
        </w:numPr>
      </w:pPr>
      <w:r>
        <w:t xml:space="preserve">IATA : pas disponible</w:t>
      </w:r>
    </w:p>
    <w:p>
      <w:pPr>
        <w:pStyle w:val="Compact"/>
        <w:numPr>
          <w:ilvl w:val="0"/>
          <w:numId w:val="1004"/>
        </w:numPr>
      </w:pPr>
      <w:r>
        <w:t xml:space="preserve">UN : pas disponible</w:t>
      </w:r>
    </w:p>
    <w:bookmarkEnd w:id="33"/>
    <w:bookmarkStart w:id="34" w:name="Xda6f178de632779b007ca26fa4959a763d2c7f4"/>
    <w:p>
      <w:pPr>
        <w:pStyle w:val="Heading2"/>
      </w:pPr>
      <w:r>
        <w:t xml:space="preserve">Dangers et/ou mesures par voie d’exposition</w:t>
      </w:r>
    </w:p>
    <w:p>
      <w:pPr>
        <w:pStyle w:val="FirstParagraph"/>
      </w:pPr>
      <w:r>
        <w:t xml:space="preserve">skin : Laver la peau avec beaucoup d’eau tiède, à faible débit.</w:t>
      </w:r>
      <w:r>
        <w:t xml:space="preserve"> </w:t>
      </w:r>
      <w:r>
        <w:t xml:space="preserve">En cas d’irritation cutanée, consulter un médecin.</w:t>
      </w:r>
    </w:p>
    <w:p>
      <w:pPr>
        <w:pStyle w:val="BodyText"/>
      </w:pPr>
      <w:r>
        <w:t xml:space="preserve">eyes : Rincer immédiatement les yeux avec précaution à l’eau tiède pendant plusieurs minutes.</w:t>
      </w:r>
      <w:r>
        <w:t xml:space="preserve"> </w:t>
      </w:r>
      <w:r>
        <w:t xml:space="preserve">Enlever les lentilles de contact si la victime en porte et si elles peuvent être facilement enlevées.</w:t>
      </w:r>
      <w:r>
        <w:t xml:space="preserve"> </w:t>
      </w:r>
      <w:r>
        <w:t xml:space="preserve">Continuer à rincer.</w:t>
      </w:r>
      <w:r>
        <w:t xml:space="preserve"> </w:t>
      </w:r>
      <w:r>
        <w:t xml:space="preserve">Si l’irritation survient et persiste, faire appel à une assistance médicale.</w:t>
      </w:r>
    </w:p>
    <w:p>
      <w:pPr>
        <w:pStyle w:val="BodyText"/>
      </w:pPr>
      <w:r>
        <w:t xml:space="preserve">ingestion : Boire immédiatement un verre d’eau.</w:t>
      </w:r>
      <w:r>
        <w:t xml:space="preserve"> </w:t>
      </w:r>
      <w:r>
        <w:t xml:space="preserve">Consulter un médecin en cas de malaise.</w:t>
      </w:r>
    </w:p>
    <w:p>
      <w:pPr>
        <w:pStyle w:val="BodyText"/>
      </w:pPr>
      <w:r>
        <w:t xml:space="preserve">inhalation : Consulter un médecin en cas de malaise.</w:t>
      </w:r>
    </w:p>
    <w:p>
      <w:r>
        <w:br w:type="page"/>
      </w:r>
    </w:p>
    <w:bookmarkEnd w:id="34"/>
    <w:bookmarkStart w:id="50" w:name="Xd3fd47f9279b52cc9d4b00e07bdfde0bea6594f"/>
    <w:p>
      <w:pPr>
        <w:pStyle w:val="Heading2"/>
      </w:pPr>
      <w:r>
        <w:t xml:space="preserve">Informations relatives aux substances dangereuses présentes</w:t>
      </w:r>
    </w:p>
    <w:bookmarkStart w:id="45" w:name="ethanol"/>
    <w:p>
      <w:pPr>
        <w:pStyle w:val="Heading3"/>
      </w:pPr>
      <w:r>
        <w:t xml:space="preserve">Ethanol</w:t>
      </w:r>
    </w:p>
    <w:p>
      <w:pPr>
        <w:pStyle w:val="FirstParagraph"/>
      </w:pPr>
      <w:r>
        <w:rPr>
          <w:b/>
          <w:bCs/>
        </w:rPr>
        <w:t xml:space="preserve">Identification</w:t>
      </w:r>
    </w:p>
    <w:p>
      <w:pPr>
        <w:pStyle w:val="Compact"/>
        <w:numPr>
          <w:ilvl w:val="0"/>
          <w:numId w:val="1005"/>
        </w:numPr>
      </w:pPr>
      <w:r>
        <w:t xml:space="preserve">N° CAS : 64-17-5</w:t>
      </w:r>
    </w:p>
    <w:p>
      <w:pPr>
        <w:pStyle w:val="Compact"/>
        <w:numPr>
          <w:ilvl w:val="0"/>
          <w:numId w:val="1005"/>
        </w:numPr>
      </w:pPr>
      <w:r>
        <w:t xml:space="preserve">N° EINECS : 200-578-6</w:t>
      </w:r>
    </w:p>
    <w:p>
      <w:pPr>
        <w:pStyle w:val="FirstParagraph"/>
      </w:pPr>
      <w:r>
        <w:rPr>
          <w:b/>
          <w:bCs/>
        </w:rPr>
        <w:t xml:space="preserve">Concentration</w:t>
      </w:r>
      <w:r>
        <w:t xml:space="preserve"> </w:t>
      </w:r>
      <w:r>
        <w:t xml:space="preserve">:from 10.0 to 20.0</w:t>
      </w:r>
    </w:p>
    <w:p>
      <w:pPr>
        <w:pStyle w:val="BodyText"/>
      </w:pPr>
      <w:r>
        <w:rPr>
          <w:b/>
          <w:bCs/>
        </w:rPr>
        <w:t xml:space="preserve">Dangers</w:t>
      </w:r>
      <w:r>
        <w:t xml:space="preserve"> </w:t>
      </w:r>
      <w:r>
        <w:t xml:space="preserve">:</w:t>
      </w:r>
    </w:p>
    <w:p>
      <w:pPr>
        <w:pStyle w:val="Compact"/>
        <w:numPr>
          <w:ilvl w:val="0"/>
          <w:numId w:val="1006"/>
        </w:numPr>
      </w:pPr>
      <w:r>
        <w:t xml:space="preserve">H225</w:t>
      </w:r>
      <w:r>
        <w:t xml:space="preserve"> </w:t>
      </w:r>
      <w:r>
        <w:t xml:space="preserve">Liquide et vapeurs très inflammables.</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VLE-8h (ppm) : 1000.0 - VLE-8h (mg/m³) : 1907.0</w:t>
            </w:r>
          </w:p>
        </w:tc>
      </w:tr>
    </w:tbl>
    <w:bookmarkStart w:id="44" w:name="propriétés"/>
    <w:p>
      <w:pPr>
        <w:pStyle w:val="Heading4"/>
      </w:pPr>
      <w:r>
        <w:t xml:space="preserve">Propriétés</w:t>
      </w:r>
    </w:p>
    <w:p>
      <w:pPr>
        <w:pStyle w:val="FirstParagraph"/>
      </w:pPr>
      <w:hyperlink r:id="rId35">
        <w:r>
          <w:rPr>
            <w:rStyle w:val="Hyperlink"/>
            <w:color w:val="0856A0"/>
            <w:u w:val="single"/>
          </w:rPr>
          <w:t xml:space="preserve">Fiche n°48 - Éthanol</w:t>
        </w:r>
      </w:hyperlink>
    </w:p>
    <w:p>
      <w:pPr>
        <w:numPr>
          <w:ilvl w:val="0"/>
          <w:numId w:val="1007"/>
        </w:numPr>
      </w:pPr>
      <w:hyperlink r:id="rId36">
        <w:r>
          <w:rPr>
            <w:rStyle w:val="Hyperlink"/>
            <w:color w:val="0856A0"/>
            <w:u w:val="single"/>
          </w:rPr>
          <w:t xml:space="preserve">Généralités</w:t>
        </w:r>
      </w:hyperlink>
    </w:p>
    <w:p>
      <w:pPr>
        <w:numPr>
          <w:ilvl w:val="0"/>
          <w:numId w:val="1007"/>
        </w:numPr>
      </w:pPr>
      <w:hyperlink r:id="rId37">
        <w:r>
          <w:rPr>
            <w:rStyle w:val="Hyperlink"/>
            <w:color w:val="0856A0"/>
            <w:u w:val="single"/>
          </w:rPr>
          <w:t xml:space="preserve">Caractéristiques</w:t>
        </w:r>
      </w:hyperlink>
    </w:p>
    <w:p>
      <w:pPr>
        <w:numPr>
          <w:ilvl w:val="0"/>
          <w:numId w:val="1007"/>
        </w:numPr>
      </w:pPr>
      <w:hyperlink r:id="rId38">
        <w:r>
          <w:rPr>
            <w:rStyle w:val="Hyperlink"/>
            <w:color w:val="0856A0"/>
            <w:u w:val="single"/>
          </w:rPr>
          <w:t xml:space="preserve">VLEPMesurage</w:t>
        </w:r>
      </w:hyperlink>
    </w:p>
    <w:p>
      <w:pPr>
        <w:numPr>
          <w:ilvl w:val="0"/>
          <w:numId w:val="1007"/>
        </w:numPr>
      </w:pPr>
      <w:hyperlink r:id="rId39">
        <w:r>
          <w:rPr>
            <w:rStyle w:val="Hyperlink"/>
            <w:color w:val="0856A0"/>
            <w:u w:val="single"/>
          </w:rPr>
          <w:t xml:space="preserve">Incendie - Explosion[2, 9, 17-19]</w:t>
        </w:r>
      </w:hyperlink>
    </w:p>
    <w:p>
      <w:pPr>
        <w:numPr>
          <w:ilvl w:val="0"/>
          <w:numId w:val="1007"/>
        </w:numPr>
      </w:pPr>
      <w:hyperlink r:id="rId40">
        <w:r>
          <w:rPr>
            <w:rStyle w:val="Hyperlink"/>
            <w:color w:val="0856A0"/>
            <w:u w:val="single"/>
          </w:rPr>
          <w:t xml:space="preserve">Pathologie - Toxicologie</w:t>
        </w:r>
      </w:hyperlink>
    </w:p>
    <w:p>
      <w:pPr>
        <w:numPr>
          <w:ilvl w:val="0"/>
          <w:numId w:val="1007"/>
        </w:numPr>
      </w:pPr>
      <w:hyperlink r:id="rId41">
        <w:r>
          <w:rPr>
            <w:rStyle w:val="Hyperlink"/>
            <w:color w:val="0856A0"/>
            <w:u w:val="single"/>
          </w:rPr>
          <w:t xml:space="preserve">Règlementation</w:t>
        </w:r>
      </w:hyperlink>
    </w:p>
    <w:p>
      <w:pPr>
        <w:numPr>
          <w:ilvl w:val="0"/>
          <w:numId w:val="1007"/>
        </w:numPr>
      </w:pPr>
      <w:hyperlink r:id="rId42">
        <w:r>
          <w:rPr>
            <w:rStyle w:val="Hyperlink"/>
            <w:color w:val="0856A0"/>
            <w:u w:val="single"/>
          </w:rPr>
          <w:t xml:space="preserve">Recommandations</w:t>
        </w:r>
      </w:hyperlink>
    </w:p>
    <w:p>
      <w:pPr>
        <w:numPr>
          <w:ilvl w:val="0"/>
          <w:numId w:val="1007"/>
        </w:numPr>
      </w:pPr>
      <w:hyperlink r:id="rId43">
        <w:r>
          <w:rPr>
            <w:rStyle w:val="Hyperlink"/>
            <w:color w:val="0856A0"/>
            <w:u w:val="single"/>
          </w:rPr>
          <w:t xml:space="preserve">Bibliographie</w:t>
        </w:r>
      </w:hyperlink>
    </w:p>
    <w:bookmarkEnd w:id="44"/>
    <w:bookmarkEnd w:id="45"/>
    <w:bookmarkStart w:id="47" w:name="X11ceca803b7024d2702a66655aefd589e1009a0"/>
    <w:p>
      <w:pPr>
        <w:pStyle w:val="Heading3"/>
      </w:pPr>
      <w:r>
        <w:t xml:space="preserve">Acides sulfoniques, sec-alcanes en C14-17, sels de sodium</w:t>
      </w:r>
    </w:p>
    <w:p>
      <w:pPr>
        <w:pStyle w:val="FirstParagraph"/>
      </w:pPr>
      <w:r>
        <w:rPr>
          <w:b/>
          <w:bCs/>
        </w:rPr>
        <w:t xml:space="preserve">Identification</w:t>
      </w:r>
    </w:p>
    <w:p>
      <w:pPr>
        <w:pStyle w:val="Compact"/>
        <w:numPr>
          <w:ilvl w:val="0"/>
          <w:numId w:val="1008"/>
        </w:numPr>
      </w:pPr>
      <w:r>
        <w:t xml:space="preserve">N° CAS : 97489-15-1</w:t>
      </w:r>
    </w:p>
    <w:p>
      <w:pPr>
        <w:pStyle w:val="Compact"/>
        <w:numPr>
          <w:ilvl w:val="0"/>
          <w:numId w:val="1008"/>
        </w:numPr>
      </w:pPr>
      <w:r>
        <w:t xml:space="preserve">N° EINECS : 307-055-2</w:t>
      </w:r>
    </w:p>
    <w:p>
      <w:pPr>
        <w:pStyle w:val="FirstParagraph"/>
      </w:pPr>
      <w:r>
        <w:rPr>
          <w:b/>
          <w:bCs/>
        </w:rPr>
        <w:t xml:space="preserve">Concentration</w:t>
      </w:r>
      <w:r>
        <w:t xml:space="preserve"> </w:t>
      </w:r>
      <w:r>
        <w:t xml:space="preserve">:from 3.0 to 10.0</w:t>
      </w:r>
    </w:p>
    <w:p>
      <w:pPr>
        <w:pStyle w:val="BodyText"/>
      </w:pPr>
      <w:r>
        <w:rPr>
          <w:b/>
          <w:bCs/>
        </w:rPr>
        <w:t xml:space="preserve">Dangers</w:t>
      </w:r>
      <w:r>
        <w:t xml:space="preserve"> </w:t>
      </w:r>
      <w:r>
        <w:t xml:space="preserve">:</w:t>
      </w:r>
    </w:p>
    <w:p>
      <w:pPr>
        <w:numPr>
          <w:ilvl w:val="0"/>
          <w:numId w:val="1009"/>
        </w:numPr>
      </w:pPr>
      <w:r>
        <w:t xml:space="preserve">H302</w:t>
      </w:r>
      <w:r>
        <w:t xml:space="preserve"> </w:t>
      </w:r>
      <w:r>
        <w:t xml:space="preserve">Nocif en cas d’ingestion.</w:t>
      </w:r>
    </w:p>
    <w:p>
      <w:pPr>
        <w:numPr>
          <w:ilvl w:val="0"/>
          <w:numId w:val="1009"/>
        </w:numPr>
      </w:pPr>
      <w:r>
        <w:t xml:space="preserve">H315</w:t>
      </w:r>
      <w:r>
        <w:t xml:space="preserve"> </w:t>
      </w:r>
      <w:r>
        <w:t xml:space="preserve">Provoque une irritation cutanée.</w:t>
      </w:r>
    </w:p>
    <w:p>
      <w:pPr>
        <w:numPr>
          <w:ilvl w:val="0"/>
          <w:numId w:val="1009"/>
        </w:numPr>
      </w:pPr>
      <w:r>
        <w:t xml:space="preserve">H318</w:t>
      </w:r>
      <w:r>
        <w:t xml:space="preserve"> </w:t>
      </w:r>
      <w:r>
        <w:t xml:space="preserve">Provoque des lésions oculaires graves.</w:t>
      </w:r>
    </w:p>
    <w:p>
      <w:pPr>
        <w:numPr>
          <w:ilvl w:val="0"/>
          <w:numId w:val="1009"/>
        </w:numPr>
      </w:pPr>
      <w:r>
        <w:t xml:space="preserve">H412</w:t>
      </w:r>
      <w:r>
        <w:t xml:space="preserve"> </w:t>
      </w:r>
      <w:r>
        <w:t xml:space="preserve">Nocif pour les organismes aquatiques, entraîne des effets néfastes à long terme.</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Non</w:t>
            </w:r>
          </w:p>
        </w:tc>
      </w:tr>
    </w:tbl>
    <w:bookmarkStart w:id="46" w:name="propriétés-1"/>
    <w:p>
      <w:pPr>
        <w:pStyle w:val="Heading4"/>
      </w:pPr>
      <w:r>
        <w:t xml:space="preserve">Propriétés</w:t>
      </w:r>
    </w:p>
    <w:p>
      <w:pPr>
        <w:pStyle w:val="FirstParagraph"/>
      </w:pPr>
      <w:r>
        <w:t xml:space="preserve">Pas d’informations disponible.</w:t>
      </w:r>
    </w:p>
    <w:bookmarkEnd w:id="46"/>
    <w:bookmarkEnd w:id="47"/>
    <w:bookmarkStart w:id="49" w:name="alcool-alkyl-alkoxydé"/>
    <w:p>
      <w:pPr>
        <w:pStyle w:val="Heading3"/>
      </w:pPr>
      <w:r>
        <w:t xml:space="preserve">Alcool alkyl alkoxydé</w:t>
      </w:r>
    </w:p>
    <w:p>
      <w:pPr>
        <w:pStyle w:val="FirstParagraph"/>
      </w:pPr>
      <w:r>
        <w:rPr>
          <w:b/>
          <w:bCs/>
        </w:rPr>
        <w:t xml:space="preserve">Identification</w:t>
      </w:r>
    </w:p>
    <w:p>
      <w:pPr>
        <w:pStyle w:val="Compact"/>
        <w:numPr>
          <w:ilvl w:val="0"/>
          <w:numId w:val="1010"/>
        </w:numPr>
      </w:pPr>
      <w:r>
        <w:t xml:space="preserve">N° CAS : 196823-11-7</w:t>
      </w:r>
    </w:p>
    <w:p>
      <w:pPr>
        <w:pStyle w:val="Compact"/>
        <w:numPr>
          <w:ilvl w:val="0"/>
          <w:numId w:val="1010"/>
        </w:numPr>
      </w:pPr>
      <w:r>
        <w:t xml:space="preserve">N° EINECS : None</w:t>
      </w:r>
    </w:p>
    <w:p>
      <w:pPr>
        <w:pStyle w:val="FirstParagraph"/>
      </w:pPr>
      <w:r>
        <w:rPr>
          <w:b/>
          <w:bCs/>
        </w:rPr>
        <w:t xml:space="preserve">Concentration</w:t>
      </w:r>
      <w:r>
        <w:t xml:space="preserve"> </w:t>
      </w:r>
      <w:r>
        <w:t xml:space="preserve">:from 3.0 to 10.0</w:t>
      </w:r>
    </w:p>
    <w:p>
      <w:pPr>
        <w:pStyle w:val="BodyText"/>
      </w:pPr>
      <w:r>
        <w:rPr>
          <w:b/>
          <w:bCs/>
        </w:rPr>
        <w:t xml:space="preserve">Dangers</w:t>
      </w:r>
      <w:r>
        <w:t xml:space="preserve"> </w:t>
      </w:r>
      <w:r>
        <w:t xml:space="preserve">:</w:t>
      </w:r>
    </w:p>
    <w:p>
      <w:pPr>
        <w:pStyle w:val="Compact"/>
        <w:numPr>
          <w:ilvl w:val="0"/>
          <w:numId w:val="1011"/>
        </w:numPr>
      </w:pPr>
      <w:r>
        <w:t xml:space="preserve">H319</w:t>
      </w:r>
      <w:r>
        <w:t xml:space="preserve"> </w:t>
      </w:r>
      <w:r>
        <w:t xml:space="preserve">Provoque une sévère irritation des yeux.</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Non</w:t>
            </w:r>
          </w:p>
        </w:tc>
      </w:tr>
    </w:tbl>
    <w:bookmarkStart w:id="48" w:name="propriétés-2"/>
    <w:p>
      <w:pPr>
        <w:pStyle w:val="Heading4"/>
      </w:pPr>
      <w:r>
        <w:t xml:space="preserve">Propriétés</w:t>
      </w:r>
    </w:p>
    <w:p>
      <w:pPr>
        <w:pStyle w:val="FirstParagraph"/>
      </w:pPr>
      <w:r>
        <w:t xml:space="preserve">Pas d’informations disponible.</w:t>
      </w:r>
    </w:p>
    <w:bookmarkEnd w:id="48"/>
    <w:bookmarkEnd w:id="49"/>
    <w:bookmarkEnd w:id="50"/>
    <w:bookmarkStart w:id="51" w:name="X45ad37046213581a41a58cd8a8dba04c2f3aa9c"/>
    <w:p>
      <w:pPr>
        <w:pStyle w:val="Heading2"/>
      </w:pPr>
      <w:r>
        <w:t xml:space="preserve">Protections individuelles et collectives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202"/>
        <w:gridCol w:w="3717"/>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Mains</w:t>
            </w:r>
          </w:p>
        </w:tc>
        <w:tc>
          <w:tcPr/>
          <w:p>
            <w:pPr>
              <w:pStyle w:val="Compact"/>
              <w:rPr>
                <w:sz w:val="20"/>
                <w:szCs w:val="20"/>
              </w:rPr>
            </w:pPr>
            <w:r>
              <w:rPr>
                <w:sz w:val="20"/>
                <w:szCs w:val="20"/>
              </w:rPr>
              <w:t xml:space="preserve">- Pas de type de gant spécifique indiqué. Il est conseillé de rincer et sécher les mains après utilisation. En cas de contact prolongé, une protection de la peau peut être nécessaire.</w:t>
            </w:r>
          </w:p>
        </w:tc>
      </w:tr>
      <w:tr>
        <w:tc>
          <w:tcPr/>
          <w:p>
            <w:pPr>
              <w:pStyle w:val="Compact"/>
              <w:rPr>
                <w:sz w:val="20"/>
                <w:szCs w:val="20"/>
              </w:rPr>
            </w:pPr>
            <w:r>
              <w:rPr>
                <w:sz w:val="20"/>
                <w:szCs w:val="20"/>
              </w:rPr>
              <w:t xml:space="preserve">Yeux</w:t>
            </w:r>
          </w:p>
        </w:tc>
        <w:tc>
          <w:tcPr/>
          <w:p>
            <w:pPr>
              <w:pStyle w:val="Compact"/>
              <w:rPr>
                <w:sz w:val="20"/>
                <w:szCs w:val="20"/>
              </w:rPr>
            </w:pPr>
            <w:r>
              <w:rPr>
                <w:sz w:val="20"/>
                <w:szCs w:val="20"/>
              </w:rPr>
              <w:t xml:space="preserve">- Les lunettes de sécurité ou écrans faciaux sont recommandés mais pas obligatoires.</w:t>
            </w:r>
          </w:p>
        </w:tc>
      </w:tr>
      <w:tr>
        <w:tc>
          <w:tcPr/>
          <w:p>
            <w:pPr>
              <w:pStyle w:val="Compact"/>
              <w:rPr>
                <w:sz w:val="20"/>
                <w:szCs w:val="20"/>
              </w:rPr>
            </w:pPr>
            <w:r>
              <w:rPr>
                <w:sz w:val="20"/>
                <w:szCs w:val="20"/>
              </w:rPr>
              <w:t xml:space="preserve">Peau</w:t>
            </w:r>
          </w:p>
        </w:tc>
        <w:tc>
          <w:tcPr/>
          <w:p>
            <w:pPr>
              <w:pStyle w:val="Compact"/>
              <w:rPr>
                <w:sz w:val="20"/>
                <w:szCs w:val="20"/>
              </w:rPr>
            </w:pPr>
            <w:r>
              <w:rPr>
                <w:sz w:val="20"/>
                <w:szCs w:val="20"/>
              </w:rPr>
              <w:t xml:space="preserve">- Pas de type de gant spécifique indiqué. Il est conseillé de rincer et sécher les mains après utilisation. En cas de contact prolongé, une protection de la peau peut être nécessaire.</w:t>
            </w:r>
          </w:p>
        </w:tc>
      </w:tr>
      <w:tr>
        <w:tc>
          <w:tcPr/>
          <w:p>
            <w:pPr>
              <w:pStyle w:val="Compact"/>
              <w:rPr>
                <w:sz w:val="20"/>
                <w:szCs w:val="20"/>
              </w:rPr>
            </w:pPr>
            <w:r>
              <w:rPr>
                <w:sz w:val="20"/>
                <w:szCs w:val="20"/>
              </w:rPr>
              <w:t xml:space="preserve">Système respiratoire</w:t>
            </w:r>
          </w:p>
        </w:tc>
        <w:tc>
          <w:tcPr/>
          <w:p>
            <w:pPr>
              <w:pStyle w:val="Compact"/>
              <w:rPr>
                <w:sz w:val="20"/>
                <w:szCs w:val="20"/>
              </w:rPr>
            </w:pPr>
            <w:r>
              <w:rPr>
                <w:sz w:val="20"/>
                <w:szCs w:val="20"/>
              </w:rPr>
              <w:t xml:space="preserve">- Aucun équipement respiratoire (masque, filtre, etc.) n’est requis dans les conditions normales d’utilisation.</w:t>
            </w:r>
          </w:p>
        </w:tc>
      </w:tr>
      <w:tr>
        <w:tc>
          <w:tcPr/>
          <w:p>
            <w:pPr>
              <w:pStyle w:val="Compact"/>
              <w:rPr>
                <w:sz w:val="20"/>
                <w:szCs w:val="20"/>
              </w:rPr>
            </w:pPr>
            <w:r>
              <w:rPr>
                <w:sz w:val="20"/>
                <w:szCs w:val="20"/>
              </w:rPr>
              <w:t xml:space="preserve">Corps</w:t>
            </w:r>
          </w:p>
        </w:tc>
        <w:tc>
          <w:tcPr/>
          <w:p>
            <w:pPr>
              <w:pStyle w:val="Compact"/>
              <w:rPr>
                <w:sz w:val="20"/>
                <w:szCs w:val="20"/>
              </w:rPr>
            </w:pPr>
            <w:r>
              <w:rPr>
                <w:sz w:val="20"/>
                <w:szCs w:val="20"/>
              </w:rPr>
              <w:t xml:space="preserve">- Aucun vêtement ou combinaison spécifique n’est requis dans les conditions normales d’utilisation.</w:t>
            </w:r>
          </w:p>
        </w:tc>
      </w:tr>
    </w:tbl>
    <w:bookmarkEnd w:id="51"/>
    <w:bookmarkStart w:id="52" w:name="Xc141b1b6429233fc1a5306592e7c0023f190cfe"/>
    <w:p>
      <w:pPr>
        <w:pStyle w:val="Heading2"/>
      </w:pPr>
      <w:r>
        <w:t xml:space="preserve">Conditions de stockage et de manipulation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009"/>
        <w:gridCol w:w="4910"/>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Précautions à prendre pour une manipulation sans danger</w:t>
            </w:r>
          </w:p>
        </w:tc>
        <w:tc>
          <w:tcPr/>
          <w:p>
            <w:pPr>
              <w:pStyle w:val="Compact"/>
              <w:rPr>
                <w:sz w:val="20"/>
                <w:szCs w:val="20"/>
              </w:rPr>
            </w:pPr>
            <w:r>
              <w:rPr>
                <w:sz w:val="20"/>
                <w:szCs w:val="20"/>
              </w:rPr>
              <w:t xml:space="preserve">- Manipuler conformément aux bonnes pratiques d’hygiène industrielle et aux consignes de sécurité. - Conserver à l’écart des aliments et boissons y compris ceux pour animaux. - Ne pas mélanger avec d’autres produits sauf avis contraire de Diversey. - Se laver les mains avant les pauses et à la fin de la journée de travail. - Se laver le visage, les mains et toute partie de la peau exposée soigneusement après manipulation. - Enlever immédiatement tous les vêtements contaminés. - Utiliser l’équipement de protection individuel requis. - N’utiliser qu’avec une ventilation adéquate.</w:t>
            </w:r>
          </w:p>
        </w:tc>
      </w:tr>
      <w:tr>
        <w:tc>
          <w:tcPr/>
          <w:p>
            <w:pPr>
              <w:pStyle w:val="Compact"/>
              <w:rPr>
                <w:sz w:val="20"/>
                <w:szCs w:val="20"/>
              </w:rPr>
            </w:pPr>
            <w:r>
              <w:rPr>
                <w:sz w:val="20"/>
                <w:szCs w:val="20"/>
              </w:rPr>
              <w:t xml:space="preserve">Conditions d’un stockage sûr, y compris d’éventuelles incompatibilités</w:t>
            </w:r>
          </w:p>
        </w:tc>
        <w:tc>
          <w:tcPr/>
          <w:p>
            <w:pPr>
              <w:pStyle w:val="Compact"/>
              <w:rPr>
                <w:sz w:val="20"/>
                <w:szCs w:val="20"/>
              </w:rPr>
            </w:pPr>
            <w:r>
              <w:rPr>
                <w:sz w:val="20"/>
                <w:szCs w:val="20"/>
              </w:rPr>
              <w:t xml:space="preserve">- Conserver conformément aux réglementations locales et nationales. - Conserver uniquement dans le récipient d’origine. - Stocker dans un récipient fermé.</w:t>
            </w:r>
          </w:p>
        </w:tc>
      </w:tr>
      <w:tr>
        <w:tc>
          <w:tcPr/>
          <w:p>
            <w:pPr>
              <w:pStyle w:val="Compact"/>
              <w:rPr>
                <w:sz w:val="20"/>
                <w:szCs w:val="20"/>
              </w:rPr>
            </w:pPr>
            <w:r>
              <w:rPr>
                <w:sz w:val="20"/>
                <w:szCs w:val="20"/>
              </w:rPr>
              <w:t xml:space="preserve">Utilisation(s) finale(s) particulière(s)</w:t>
            </w:r>
          </w:p>
        </w:tc>
        <w:tc>
          <w:tcPr/>
          <w:p>
            <w:pPr>
              <w:pStyle w:val="Compact"/>
              <w:rPr>
                <w:sz w:val="20"/>
                <w:szCs w:val="20"/>
              </w:rPr>
            </w:pPr>
            <w:r>
              <w:rPr>
                <w:sz w:val="20"/>
                <w:szCs w:val="20"/>
              </w:rPr>
              <w:t xml:space="preserve">Uniquement pour usage professionnel.</w:t>
            </w:r>
          </w:p>
        </w:tc>
      </w:tr>
    </w:tbl>
    <w:bookmarkEnd w:id="52"/>
    <w:bookmarkEnd w:id="53"/>
    <w:sectPr w:rsidR="00E0006B">
      <w:pgSz w:h="15840" w:w="12240"/>
      <w:pgMar w:bottom="1440" w:footer="720" w:gutter="0" w:header="720" w:left="1440" w:right="1440" w:top="1440"/>
      <w:cols w:space="720"/>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Headings CS)">
    <w:altName w:val="Times New Roman"/>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1B169FA4"/>
    <w:lvl w:ilvl="0">
      <w:numFmt w:val="bullet"/>
      <w:lvlText w:val=" "/>
      <w:lvlJc w:val="left"/>
      <w:pPr>
        <w:ind w:hanging="360" w:left="720"/>
      </w:pPr>
    </w:lvl>
    <w:lvl w:ilvl="1">
      <w:numFmt w:val="bullet"/>
      <w:lvlText w:val=" "/>
      <w:lvlJc w:val="left"/>
      <w:pPr>
        <w:ind w:hanging="360" w:left="1440"/>
      </w:pPr>
    </w:lvl>
    <w:lvl w:ilvl="2">
      <w:numFmt w:val="bullet"/>
      <w:lvlText w:val=" "/>
      <w:lvlJc w:val="left"/>
      <w:pPr>
        <w:ind w:hanging="360" w:left="2160"/>
      </w:pPr>
    </w:lvl>
    <w:lvl w:ilvl="3">
      <w:numFmt w:val="bullet"/>
      <w:lvlText w:val=" "/>
      <w:lvlJc w:val="left"/>
      <w:pPr>
        <w:ind w:hanging="360" w:left="2880"/>
      </w:pPr>
    </w:lvl>
    <w:lvl w:ilvl="4">
      <w:numFmt w:val="bullet"/>
      <w:lvlText w:val=" "/>
      <w:lvlJc w:val="left"/>
      <w:pPr>
        <w:ind w:hanging="360" w:left="3600"/>
      </w:pPr>
    </w:lvl>
    <w:lvl w:ilvl="5">
      <w:numFmt w:val="bullet"/>
      <w:lvlText w:val=" "/>
      <w:lvlJc w:val="left"/>
      <w:pPr>
        <w:ind w:hanging="360" w:left="4320"/>
      </w:pPr>
    </w:lvl>
    <w:lvl w:ilvl="6">
      <w:numFmt w:val="bullet"/>
      <w:lvlText w:val=" "/>
      <w:lvlJc w:val="left"/>
      <w:pPr>
        <w:ind w:hanging="360" w:left="5040"/>
      </w:pPr>
    </w:lvl>
    <w:lvl w:ilvl="7">
      <w:numFmt w:val="bullet"/>
      <w:lvlText w:val=" "/>
      <w:lvlJc w:val="left"/>
      <w:pPr>
        <w:ind w:hanging="360" w:left="5760"/>
      </w:pPr>
    </w:lvl>
    <w:lvl w:ilvl="8">
      <w:numFmt w:val="bullet"/>
      <w:lvlText w:val=" "/>
      <w:lvlJc w:val="left"/>
      <w:pPr>
        <w:ind w:hanging="360" w:left="6480"/>
      </w:pPr>
    </w:lvl>
  </w:abstractNum>
  <w:abstractNum w15:restartNumberingAfterBreak="0" w:abstractNumId="1">
    <w:nsid w:val="0000A991"/>
    <w:multiLevelType w:val="multilevel"/>
    <w:tmpl w:val="1892DF90"/>
    <w:lvl w:ilvl="0">
      <w:numFmt w:val="bullet"/>
      <w:lvlText w:val=""/>
      <w:lvlJc w:val="left"/>
      <w:pPr>
        <w:ind w:hanging="360" w:left="720"/>
      </w:pPr>
      <w:rPr>
        <w:rFonts w:ascii="Symbol" w:cs="Symbol" w:hAnsi="Symbol" w:hint="default"/>
      </w:rPr>
    </w:lvl>
    <w:lvl w:ilvl="1">
      <w:numFmt w:val="bullet"/>
      <w:lvlText w:val="o"/>
      <w:lvlJc w:val="left"/>
      <w:pPr>
        <w:ind w:hanging="360" w:left="1440"/>
      </w:pPr>
      <w:rPr>
        <w:rFonts w:ascii="Courier New" w:cs="Courier New" w:hAnsi="Courier New" w:hint="default"/>
      </w:rPr>
    </w:lvl>
    <w:lvl w:ilvl="2">
      <w:numFmt w:val="bullet"/>
      <w:lvlText w:val=""/>
      <w:lvlJc w:val="left"/>
      <w:pPr>
        <w:ind w:hanging="360" w:left="2160"/>
      </w:pPr>
      <w:rPr>
        <w:rFonts w:ascii="Wingdings" w:cs="Wingdings" w:hAnsi="Wingdings" w:hint="default"/>
      </w:rPr>
    </w:lvl>
    <w:lvl w:ilvl="3">
      <w:numFmt w:val="bullet"/>
      <w:lvlText w:val=""/>
      <w:lvlJc w:val="left"/>
      <w:pPr>
        <w:ind w:hanging="360" w:left="2880"/>
      </w:pPr>
      <w:rPr>
        <w:rFonts w:ascii="Symbol" w:cs="Symbol" w:hAnsi="Symbol" w:hint="default"/>
      </w:rPr>
    </w:lvl>
    <w:lvl w:ilvl="4">
      <w:numFmt w:val="bullet"/>
      <w:lvlText w:val="o"/>
      <w:lvlJc w:val="left"/>
      <w:pPr>
        <w:ind w:hanging="360" w:left="3600"/>
      </w:pPr>
      <w:rPr>
        <w:rFonts w:ascii="Courier New" w:cs="Courier New" w:hAnsi="Courier New" w:hint="default"/>
      </w:rPr>
    </w:lvl>
    <w:lvl w:ilvl="5">
      <w:numFmt w:val="bullet"/>
      <w:lvlText w:val=""/>
      <w:lvlJc w:val="left"/>
      <w:pPr>
        <w:ind w:hanging="360" w:left="4320"/>
      </w:pPr>
      <w:rPr>
        <w:rFonts w:ascii="Wingdings" w:cs="Wingdings" w:hAnsi="Wingdings" w:hint="default"/>
      </w:rPr>
    </w:lvl>
    <w:lvl w:ilvl="6">
      <w:numFmt w:val="bullet"/>
      <w:lvlText w:val=""/>
      <w:lvlJc w:val="left"/>
      <w:pPr>
        <w:ind w:hanging="360" w:left="5040"/>
      </w:pPr>
      <w:rPr>
        <w:rFonts w:ascii="Symbol" w:cs="Symbol" w:hAnsi="Symbol" w:hint="default"/>
      </w:rPr>
    </w:lvl>
    <w:lvl w:ilvl="7">
      <w:numFmt w:val="bullet"/>
      <w:lvlText w:val="o"/>
      <w:lvlJc w:val="left"/>
      <w:pPr>
        <w:ind w:hanging="360" w:left="5760"/>
      </w:pPr>
      <w:rPr>
        <w:rFonts w:ascii="Courier New" w:cs="Courier New" w:hAnsi="Courier New" w:hint="default"/>
      </w:rPr>
    </w:lvl>
    <w:lvl w:ilvl="8">
      <w:numFmt w:val="bullet"/>
      <w:lvlText w:val=""/>
      <w:lvlJc w:val="left"/>
      <w:pPr>
        <w:ind w:hanging="360" w:left="6480"/>
      </w:pPr>
      <w:rPr>
        <w:rFonts w:ascii="Wingdings" w:cs="Wingdings" w:hAnsi="Wingdings" w:hint="default"/>
      </w:rPr>
    </w:lvl>
  </w:abstractNum>
  <w:abstractNum w15:restartNumberingAfterBreak="0" w:abstractNumId="2">
    <w:nsid w:val="04352475"/>
    <w:multiLevelType w:val="multilevel"/>
    <w:tmpl w:val="0B5C3C7C"/>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3">
    <w:nsid w:val="27580FEE"/>
    <w:multiLevelType w:val="multilevel"/>
    <w:tmpl w:val="9D544CDC"/>
    <w:styleLink w:val="CurrentList2"/>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4">
    <w:nsid w:val="400A04EB"/>
    <w:multiLevelType w:val="hybridMultilevel"/>
    <w:tmpl w:val="C7FEDEBC"/>
    <w:lvl w:ilvl="0" w:tplc="7876CDB4">
      <w:numFmt w:val="bullet"/>
      <w:lvlText w:val="-"/>
      <w:lvlJc w:val="left"/>
      <w:pPr>
        <w:ind w:hanging="360" w:left="720"/>
      </w:pPr>
      <w:rPr>
        <w:rFonts w:ascii="Calibri Light" w:cstheme="minorBidi" w:eastAsiaTheme="minorHAnsi" w:hAnsi="Calibri Light" w:hint="default"/>
      </w:rPr>
    </w:lvl>
    <w:lvl w:ilvl="1" w:tentative="1" w:tplc="04090003">
      <w:start w:val="1"/>
      <w:numFmt w:val="bullet"/>
      <w:lvlText w:val="o"/>
      <w:lvlJc w:val="left"/>
      <w:pPr>
        <w:ind w:hanging="360" w:left="1440"/>
      </w:pPr>
      <w:rPr>
        <w:rFonts w:ascii="Courier New" w:cs="Courier New" w:hAnsi="Courier New" w:hint="default"/>
      </w:rPr>
    </w:lvl>
    <w:lvl w:ilvl="2" w:tentative="1" w:tplc="04090005">
      <w:start w:val="1"/>
      <w:numFmt w:val="bullet"/>
      <w:lvlText w:val=""/>
      <w:lvlJc w:val="left"/>
      <w:pPr>
        <w:ind w:hanging="360" w:left="2160"/>
      </w:pPr>
      <w:rPr>
        <w:rFonts w:ascii="Wingdings" w:hAnsi="Wingdings" w:hint="default"/>
      </w:rPr>
    </w:lvl>
    <w:lvl w:ilvl="3" w:tentative="1" w:tplc="04090001">
      <w:start w:val="1"/>
      <w:numFmt w:val="bullet"/>
      <w:lvlText w:val=""/>
      <w:lvlJc w:val="left"/>
      <w:pPr>
        <w:ind w:hanging="360" w:left="2880"/>
      </w:pPr>
      <w:rPr>
        <w:rFonts w:ascii="Symbol" w:hAnsi="Symbol" w:hint="default"/>
      </w:rPr>
    </w:lvl>
    <w:lvl w:ilvl="4" w:tentative="1" w:tplc="04090003">
      <w:start w:val="1"/>
      <w:numFmt w:val="bullet"/>
      <w:lvlText w:val="o"/>
      <w:lvlJc w:val="left"/>
      <w:pPr>
        <w:ind w:hanging="360" w:left="3600"/>
      </w:pPr>
      <w:rPr>
        <w:rFonts w:ascii="Courier New" w:cs="Courier New" w:hAnsi="Courier New" w:hint="default"/>
      </w:rPr>
    </w:lvl>
    <w:lvl w:ilvl="5" w:tentative="1" w:tplc="04090005">
      <w:start w:val="1"/>
      <w:numFmt w:val="bullet"/>
      <w:lvlText w:val=""/>
      <w:lvlJc w:val="left"/>
      <w:pPr>
        <w:ind w:hanging="360" w:left="4320"/>
      </w:pPr>
      <w:rPr>
        <w:rFonts w:ascii="Wingdings" w:hAnsi="Wingdings" w:hint="default"/>
      </w:rPr>
    </w:lvl>
    <w:lvl w:ilvl="6" w:tentative="1" w:tplc="04090001">
      <w:start w:val="1"/>
      <w:numFmt w:val="bullet"/>
      <w:lvlText w:val=""/>
      <w:lvlJc w:val="left"/>
      <w:pPr>
        <w:ind w:hanging="360" w:left="5040"/>
      </w:pPr>
      <w:rPr>
        <w:rFonts w:ascii="Symbol" w:hAnsi="Symbol" w:hint="default"/>
      </w:rPr>
    </w:lvl>
    <w:lvl w:ilvl="7" w:tentative="1" w:tplc="04090003">
      <w:start w:val="1"/>
      <w:numFmt w:val="bullet"/>
      <w:lvlText w:val="o"/>
      <w:lvlJc w:val="left"/>
      <w:pPr>
        <w:ind w:hanging="360" w:left="5760"/>
      </w:pPr>
      <w:rPr>
        <w:rFonts w:ascii="Courier New" w:cs="Courier New" w:hAnsi="Courier New" w:hint="default"/>
      </w:rPr>
    </w:lvl>
    <w:lvl w:ilvl="8" w:tentative="1" w:tplc="04090005">
      <w:start w:val="1"/>
      <w:numFmt w:val="bullet"/>
      <w:lvlText w:val=""/>
      <w:lvlJc w:val="left"/>
      <w:pPr>
        <w:ind w:hanging="360" w:left="6480"/>
      </w:pPr>
      <w:rPr>
        <w:rFonts w:ascii="Wingdings" w:hAnsi="Wingdings" w:hint="default"/>
      </w:rPr>
    </w:lvl>
  </w:abstractNum>
  <w:abstractNum w15:restartNumberingAfterBreak="0" w:abstractNumId="5">
    <w:nsid w:val="50E51DAE"/>
    <w:multiLevelType w:val="multilevel"/>
    <w:tmpl w:val="563A878E"/>
    <w:styleLink w:val="CurrentList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6">
    <w:nsid w:val="52107C0B"/>
    <w:multiLevelType w:val="multilevel"/>
    <w:tmpl w:val="BBB8FE78"/>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7">
    <w:nsid w:val="7CD12584"/>
    <w:multiLevelType w:val="multilevel"/>
    <w:tmpl w:val="06BCBE18"/>
    <w:lvl w:ilvl="0">
      <w:start w:val="1"/>
      <w:numFmt w:val="decimal"/>
      <w:pStyle w:val="Heading1"/>
      <w:isLgl/>
      <w:lvlText w:val="%1."/>
      <w:lvlJc w:val="left"/>
      <w:pPr>
        <w:ind w:hanging="360" w:left="360"/>
      </w:pPr>
      <w:rPr>
        <w:rFonts w:hint="default"/>
      </w:rPr>
    </w:lvl>
    <w:lvl w:ilvl="1">
      <w:start w:val="1"/>
      <w:numFmt w:val="decimal"/>
      <w:pStyle w:val="Heading2"/>
      <w:lvlText w:val="%1.%2."/>
      <w:lvlJc w:val="left"/>
      <w:pPr>
        <w:ind w:hanging="432" w:left="792"/>
      </w:pPr>
      <w:rPr>
        <w:rFonts w:hint="default"/>
      </w:rPr>
    </w:lvl>
    <w:lvl w:ilvl="2">
      <w:start w:val="1"/>
      <w:numFmt w:val="decimal"/>
      <w:pStyle w:val="Heading3"/>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990">
    <w:nsid w:val="0000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0000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16cid:durableId="1720471213" w:numId="1">
    <w:abstractNumId w:val="2"/>
  </w:num>
  <w:num w16cid:durableId="1648320710" w:numId="2">
    <w:abstractNumId w:val="5"/>
  </w:num>
  <w:num w16cid:durableId="2017804043" w:numId="3">
    <w:abstractNumId w:val="6"/>
  </w:num>
  <w:num w16cid:durableId="1651909906" w:numId="4">
    <w:abstractNumId w:val="3"/>
  </w:num>
  <w:num w16cid:durableId="521095555" w:numId="5">
    <w:abstractNumId w:val="7"/>
  </w:num>
  <w:num w16cid:durableId="817499995" w:numId="6">
    <w:abstractNumId w:val="4"/>
  </w:num>
  <w:num w16cid:durableId="1906332917" w:numId="7">
    <w:abstractNumId w:val="0"/>
  </w:num>
  <w:num w16cid:durableId="1745058132" w:numId="8">
    <w:abstractNumId w:val="1"/>
  </w:num>
  <w:num w16cid:durableId="1817255597" w:numId="9">
    <w:abstractNumId w:val="1"/>
  </w:num>
  <w:num w16cid:durableId="172231987" w:numId="10">
    <w:abstractNumId w:val="1"/>
  </w:num>
  <w:num w16cid:durableId="92215818" w:numId="11">
    <w:abstractNumId w:val="1"/>
  </w:num>
  <w:num w16cid:durableId="1483934940" w:numId="12">
    <w:abstractNumId w:val="1"/>
  </w:num>
  <w:num w16cid:durableId="1150366971" w:numId="13">
    <w:abstractNumId w:val="1"/>
  </w:num>
  <w:num w16cid:durableId="1761292258" w:numId="14">
    <w:abstractNumId w:val="1"/>
  </w:num>
  <w:num w16cid:durableId="346903929" w:numId="15">
    <w:abstractNumId w:val="1"/>
  </w:num>
  <w:num w16cid:durableId="1559971392" w:numId="16">
    <w:abstractNumId w:val="1"/>
  </w:num>
  <w:num w16cid:durableId="517354298" w:numId="17">
    <w:abstractNumId w:val="1"/>
  </w:num>
  <w:num w16cid:durableId="833032575" w:numId="18">
    <w:abstractNumId w:val="1"/>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60"/>
  <w:embedSystemFonts/>
  <w:proofState w:grammar="clean" w:spelling="clean"/>
  <w:stylePaneFormatFilter w:allStyles="0" w:alternateStyleNames="0" w:clearFormatting="1" w:customStyles="0" w:directFormattingOnNumbering="0" w:directFormattingOnParagraphs="0" w:directFormattingOnRuns="0" w:directFormattingOnTables="0" w:headingStyles="0" w:latentStyles="1" w:numberingStyles="0" w:stylesInUse="0" w:tableStyles="0" w:top3HeadingStyles="0" w:val="1004" w:visibleStyles="0"/>
  <w:doNotTrackMoves/>
  <w:defaultTabStop w:val="720"/>
  <w:defaultTableStyle w:val="TableGrid"/>
  <w:drawingGridHorizontalSpacing w:val="360"/>
  <w:drawingGridVerticalSpacing w:val="360"/>
  <w:displayHorizontalDrawingGridEvery w:val="0"/>
  <w:displayVerticalDrawingGridEvery w:val="0"/>
  <w:characterSpacingControl w:val="doNotCompress"/>
  <w:savePreviewPicture/>
  <w:footnotePr>
    <w:footnote w:id="-1"/>
    <w:footnote w:id="0"/>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D39"/>
    <w:rsid w:val="001509A7"/>
    <w:rsid w:val="00267AAB"/>
    <w:rsid w:val="003A690E"/>
    <w:rsid w:val="00414B90"/>
    <w:rsid w:val="004528CD"/>
    <w:rsid w:val="00526565"/>
    <w:rsid w:val="00541D66"/>
    <w:rsid w:val="00544B38"/>
    <w:rsid w:val="00565810"/>
    <w:rsid w:val="006148BD"/>
    <w:rsid w:val="00666DED"/>
    <w:rsid w:val="008165A3"/>
    <w:rsid w:val="00860E1D"/>
    <w:rsid w:val="008852B8"/>
    <w:rsid w:val="0094385A"/>
    <w:rsid w:val="00A1506E"/>
    <w:rsid w:val="00A64414"/>
    <w:rsid w:val="00AC12F5"/>
    <w:rsid w:val="00AD54C5"/>
    <w:rsid w:val="00B03303"/>
    <w:rsid w:val="00B31D39"/>
    <w:rsid w:val="00DE2473"/>
    <w:rsid w:val="00E0006B"/>
    <w:rsid w:val="00E218FB"/>
    <w:rsid w:val="00E820F7"/>
    <w:rsid w:val="00EB543D"/>
    <w:rsid w:val="00F41D15"/>
    <w:rsid w:val="00FA1C42"/>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HAnsi" w:hAnsiTheme="minorHAnsi"/>
        <w:kern w:val="2"/>
        <w:sz w:val="24"/>
        <w:szCs w:val="24"/>
        <w:lang w:bidi="ar-SA" w:eastAsia="en-US" w:val="en-US"/>
        <w14:ligatures w14:val="standardContextual"/>
      </w:rPr>
    </w:rPrDefault>
    <w:pPrDefault>
      <w:pPr>
        <w:spacing w:after="160" w:line="27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Normal" w:type="paragraph">
    <w:name w:val="Normal"/>
    <w:qFormat/>
    <w:rsid w:val="00B31D39"/>
    <w:rPr>
      <w:rFonts w:ascii="Calibri" w:hAnsi="Calibri"/>
    </w:rPr>
  </w:style>
  <w:style w:styleId="Heading1" w:type="paragraph">
    <w:name w:val="heading 1"/>
    <w:basedOn w:val="Normal"/>
    <w:next w:val="Normal"/>
    <w:link w:val="Heading1Char"/>
    <w:uiPriority w:val="9"/>
    <w:qFormat/>
    <w:rsid w:val="00B31D39"/>
    <w:pPr>
      <w:keepNext/>
      <w:keepLines/>
      <w:numPr>
        <w:numId w:val="5"/>
      </w:numPr>
      <w:spacing w:after="80" w:before="360"/>
      <w:outlineLvl w:val="0"/>
    </w:pPr>
    <w:rPr>
      <w:rFonts w:cstheme="majorBidi" w:eastAsiaTheme="majorEastAsia"/>
      <w:b/>
      <w:color w:themeColor="accent1" w:themeShade="BF" w:val="0F4761"/>
      <w:sz w:val="40"/>
      <w:szCs w:val="40"/>
    </w:rPr>
  </w:style>
  <w:style w:styleId="Heading2" w:type="paragraph">
    <w:name w:val="heading 2"/>
    <w:basedOn w:val="Heading1"/>
    <w:next w:val="Normal"/>
    <w:link w:val="Heading2Char"/>
    <w:uiPriority w:val="9"/>
    <w:unhideWhenUsed/>
    <w:qFormat/>
    <w:rsid w:val="00FA1C42"/>
    <w:pPr>
      <w:numPr>
        <w:ilvl w:val="1"/>
      </w:numPr>
      <w:spacing w:before="160"/>
      <w:ind w:left="432"/>
      <w:outlineLvl w:val="1"/>
    </w:pPr>
    <w:rPr>
      <w:sz w:val="32"/>
      <w:szCs w:val="32"/>
    </w:rPr>
  </w:style>
  <w:style w:styleId="Heading3" w:type="paragraph">
    <w:name w:val="heading 3"/>
    <w:basedOn w:val="Heading2"/>
    <w:next w:val="Normal"/>
    <w:link w:val="Heading3Char"/>
    <w:uiPriority w:val="9"/>
    <w:unhideWhenUsed/>
    <w:qFormat/>
    <w:rsid w:val="00FA1C42"/>
    <w:pPr>
      <w:numPr>
        <w:ilvl w:val="2"/>
      </w:numPr>
      <w:ind w:left="504"/>
      <w:outlineLvl w:val="2"/>
    </w:pPr>
    <w:rPr>
      <w:rFonts w:cs="Times New Roman (Headings CS)"/>
      <w:sz w:val="28"/>
      <w:szCs w:val="28"/>
    </w:rPr>
  </w:style>
  <w:style w:styleId="Heading4" w:type="paragraph">
    <w:name w:val="heading 4"/>
    <w:basedOn w:val="Normal"/>
    <w:next w:val="Normal"/>
    <w:link w:val="Heading4Char"/>
    <w:uiPriority w:val="9"/>
    <w:semiHidden/>
    <w:unhideWhenUsed/>
    <w:qFormat/>
    <w:rsid w:val="00B31D3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Normal"/>
    <w:link w:val="Heading5Char"/>
    <w:uiPriority w:val="9"/>
    <w:semiHidden/>
    <w:unhideWhenUsed/>
    <w:qFormat/>
    <w:rsid w:val="00B31D3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Normal"/>
    <w:link w:val="Heading6Char"/>
    <w:uiPriority w:val="9"/>
    <w:semiHidden/>
    <w:unhideWhenUsed/>
    <w:qFormat/>
    <w:rsid w:val="00B31D3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Normal"/>
    <w:link w:val="Heading7Char"/>
    <w:uiPriority w:val="9"/>
    <w:semiHidden/>
    <w:unhideWhenUsed/>
    <w:qFormat/>
    <w:rsid w:val="00B31D3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Normal"/>
    <w:link w:val="Heading8Char"/>
    <w:uiPriority w:val="9"/>
    <w:semiHidden/>
    <w:unhideWhenUsed/>
    <w:qFormat/>
    <w:rsid w:val="00B31D3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Normal"/>
    <w:link w:val="Heading9Char"/>
    <w:uiPriority w:val="9"/>
    <w:semiHidden/>
    <w:unhideWhenUsed/>
    <w:qFormat/>
    <w:rsid w:val="00B31D39"/>
    <w:pPr>
      <w:keepNext/>
      <w:keepLines/>
      <w:spacing w:after="0"/>
      <w:outlineLvl w:val="8"/>
    </w:pPr>
    <w:rPr>
      <w:rFonts w:cstheme="majorBidi" w:eastAsiaTheme="majorEastAsia"/>
      <w:color w:themeColor="text1" w:themeTint="D8" w:val="272727"/>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B31D39"/>
    <w:rPr>
      <w:rFonts w:ascii="Calibri" w:cstheme="majorBidi" w:eastAsiaTheme="majorEastAsia" w:hAnsi="Calibri"/>
      <w:b/>
      <w:color w:themeColor="accent1" w:themeShade="BF" w:val="0F4761"/>
      <w:sz w:val="40"/>
      <w:szCs w:val="40"/>
    </w:rPr>
  </w:style>
  <w:style w:customStyle="1" w:styleId="Heading2Char" w:type="character">
    <w:name w:val="Heading 2 Char"/>
    <w:basedOn w:val="DefaultParagraphFont"/>
    <w:link w:val="Heading2"/>
    <w:uiPriority w:val="9"/>
    <w:rsid w:val="00FA1C42"/>
    <w:rPr>
      <w:rFonts w:ascii="Calibri" w:cstheme="majorBidi" w:eastAsiaTheme="majorEastAsia" w:hAnsi="Calibri"/>
      <w:b/>
      <w:color w:themeColor="accent1" w:themeShade="BF" w:val="0F4761"/>
      <w:sz w:val="32"/>
      <w:szCs w:val="32"/>
    </w:rPr>
  </w:style>
  <w:style w:customStyle="1" w:styleId="Heading3Char" w:type="character">
    <w:name w:val="Heading 3 Char"/>
    <w:basedOn w:val="DefaultParagraphFont"/>
    <w:link w:val="Heading3"/>
    <w:uiPriority w:val="9"/>
    <w:rsid w:val="00FA1C42"/>
    <w:rPr>
      <w:rFonts w:ascii="Calibri" w:cs="Times New Roman (Headings CS)" w:eastAsiaTheme="majorEastAsia" w:hAnsi="Calibri"/>
      <w:b/>
      <w:color w:themeColor="accent1" w:themeShade="BF" w:val="0F4761"/>
      <w:sz w:val="28"/>
      <w:szCs w:val="28"/>
    </w:rPr>
  </w:style>
  <w:style w:customStyle="1" w:styleId="Heading4Char" w:type="character">
    <w:name w:val="Heading 4 Char"/>
    <w:basedOn w:val="DefaultParagraphFont"/>
    <w:link w:val="Heading4"/>
    <w:uiPriority w:val="9"/>
    <w:semiHidden/>
    <w:rsid w:val="00B31D3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B31D3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B31D3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B31D3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B31D3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B31D39"/>
    <w:rPr>
      <w:rFonts w:cstheme="majorBidi" w:eastAsiaTheme="majorEastAsia"/>
      <w:color w:themeColor="text1" w:themeTint="D8" w:val="272727"/>
    </w:rPr>
  </w:style>
  <w:style w:styleId="Title" w:type="paragraph">
    <w:name w:val="Title"/>
    <w:basedOn w:val="Normal"/>
    <w:next w:val="Normal"/>
    <w:link w:val="TitleChar"/>
    <w:uiPriority w:val="10"/>
    <w:qFormat/>
    <w:rsid w:val="00B31D39"/>
    <w:pPr>
      <w:spacing w:after="80" w:line="240" w:lineRule="auto"/>
      <w:contextualSpacing/>
    </w:pPr>
    <w:rPr>
      <w:rFonts w:asciiTheme="majorHAnsi" w:cstheme="majorBidi" w:eastAsiaTheme="majorEastAsia" w:hAnsiTheme="majorHAnsi"/>
      <w:spacing w:val="-10"/>
      <w:kern w:val="28"/>
      <w:sz w:val="56"/>
      <w:szCs w:val="56"/>
    </w:rPr>
  </w:style>
  <w:style w:customStyle="1" w:styleId="TitleChar" w:type="character">
    <w:name w:val="Title Char"/>
    <w:basedOn w:val="DefaultParagraphFont"/>
    <w:link w:val="Title"/>
    <w:uiPriority w:val="10"/>
    <w:rsid w:val="00B31D39"/>
    <w:rPr>
      <w:rFonts w:asciiTheme="majorHAnsi" w:cstheme="majorBidi" w:eastAsiaTheme="majorEastAsia" w:hAnsiTheme="majorHAnsi"/>
      <w:spacing w:val="-10"/>
      <w:kern w:val="28"/>
      <w:sz w:val="56"/>
      <w:szCs w:val="56"/>
    </w:rPr>
  </w:style>
  <w:style w:styleId="Subtitle" w:type="paragraph">
    <w:name w:val="Subtitle"/>
    <w:basedOn w:val="Normal"/>
    <w:next w:val="Normal"/>
    <w:link w:val="SubtitleChar"/>
    <w:uiPriority w:val="11"/>
    <w:qFormat/>
    <w:rsid w:val="00B31D39"/>
    <w:pPr>
      <w:numPr>
        <w:ilvl w:val="1"/>
      </w:numPr>
    </w:pPr>
    <w:rPr>
      <w:rFonts w:cstheme="majorBidi" w:eastAsiaTheme="majorEastAsia"/>
      <w:color w:themeColor="text1" w:themeTint="A6" w:val="595959"/>
      <w:spacing w:val="15"/>
      <w:sz w:val="28"/>
      <w:szCs w:val="28"/>
    </w:rPr>
  </w:style>
  <w:style w:customStyle="1" w:styleId="SubtitleChar" w:type="character">
    <w:name w:val="Subtitle Char"/>
    <w:basedOn w:val="DefaultParagraphFont"/>
    <w:link w:val="Subtitle"/>
    <w:uiPriority w:val="11"/>
    <w:rsid w:val="00B31D39"/>
    <w:rPr>
      <w:rFonts w:cstheme="majorBidi" w:eastAsiaTheme="majorEastAsia"/>
      <w:color w:themeColor="text1" w:themeTint="A6" w:val="595959"/>
      <w:spacing w:val="15"/>
      <w:sz w:val="28"/>
      <w:szCs w:val="28"/>
    </w:rPr>
  </w:style>
  <w:style w:styleId="Quote" w:type="paragraph">
    <w:name w:val="Quote"/>
    <w:basedOn w:val="Normal"/>
    <w:next w:val="Normal"/>
    <w:link w:val="QuoteChar"/>
    <w:uiPriority w:val="29"/>
    <w:qFormat/>
    <w:rsid w:val="00B31D39"/>
    <w:pPr>
      <w:spacing w:before="160"/>
      <w:jc w:val="center"/>
    </w:pPr>
    <w:rPr>
      <w:i/>
      <w:iCs/>
      <w:color w:themeColor="text1" w:themeTint="BF" w:val="404040"/>
    </w:rPr>
  </w:style>
  <w:style w:customStyle="1" w:styleId="QuoteChar" w:type="character">
    <w:name w:val="Quote Char"/>
    <w:basedOn w:val="DefaultParagraphFont"/>
    <w:link w:val="Quote"/>
    <w:uiPriority w:val="29"/>
    <w:rsid w:val="00B31D39"/>
    <w:rPr>
      <w:i/>
      <w:iCs/>
      <w:color w:themeColor="text1" w:themeTint="BF" w:val="404040"/>
    </w:rPr>
  </w:style>
  <w:style w:styleId="ListParagraph" w:type="paragraph">
    <w:name w:val="List Paragraph"/>
    <w:basedOn w:val="Normal"/>
    <w:uiPriority w:val="34"/>
    <w:qFormat/>
    <w:rsid w:val="00B31D39"/>
    <w:pPr>
      <w:ind w:left="720"/>
      <w:contextualSpacing/>
    </w:pPr>
  </w:style>
  <w:style w:styleId="IntenseEmphasis" w:type="character">
    <w:name w:val="Intense Emphasis"/>
    <w:basedOn w:val="DefaultParagraphFont"/>
    <w:uiPriority w:val="21"/>
    <w:qFormat/>
    <w:rsid w:val="00B31D39"/>
    <w:rPr>
      <w:i/>
      <w:iCs/>
      <w:color w:themeColor="accent1" w:themeShade="BF" w:val="0F4761"/>
    </w:rPr>
  </w:style>
  <w:style w:styleId="IntenseQuote" w:type="paragraph">
    <w:name w:val="Intense Quote"/>
    <w:basedOn w:val="Normal"/>
    <w:next w:val="Normal"/>
    <w:link w:val="IntenseQuoteChar"/>
    <w:uiPriority w:val="30"/>
    <w:qFormat/>
    <w:rsid w:val="00B31D39"/>
    <w:pPr>
      <w:pBdr>
        <w:top w:color="0F4761" w:space="10" w:sz="4" w:themeColor="accent1" w:themeShade="BF" w:val="single"/>
        <w:bottom w:color="0F4761" w:space="10" w:sz="4" w:themeColor="accent1" w:themeShade="BF" w:val="single"/>
      </w:pBdr>
      <w:spacing w:after="360" w:before="360"/>
      <w:ind w:left="864" w:right="864"/>
      <w:jc w:val="center"/>
    </w:pPr>
    <w:rPr>
      <w:i/>
      <w:iCs/>
      <w:color w:themeColor="accent1" w:themeShade="BF" w:val="0F4761"/>
    </w:rPr>
  </w:style>
  <w:style w:customStyle="1" w:styleId="IntenseQuoteChar" w:type="character">
    <w:name w:val="Intense Quote Char"/>
    <w:basedOn w:val="DefaultParagraphFont"/>
    <w:link w:val="IntenseQuote"/>
    <w:uiPriority w:val="30"/>
    <w:rsid w:val="00B31D39"/>
    <w:rPr>
      <w:i/>
      <w:iCs/>
      <w:color w:themeColor="accent1" w:themeShade="BF" w:val="0F4761"/>
    </w:rPr>
  </w:style>
  <w:style w:styleId="IntenseReference" w:type="character">
    <w:name w:val="Intense Reference"/>
    <w:basedOn w:val="DefaultParagraphFont"/>
    <w:uiPriority w:val="32"/>
    <w:qFormat/>
    <w:rsid w:val="00B31D39"/>
    <w:rPr>
      <w:b/>
      <w:bCs/>
      <w:smallCaps/>
      <w:color w:themeColor="accent1" w:themeShade="BF" w:val="0F4761"/>
      <w:spacing w:val="5"/>
    </w:rPr>
  </w:style>
  <w:style w:customStyle="1" w:styleId="CurrentList1" w:type="numbering">
    <w:name w:val="Current List1"/>
    <w:uiPriority w:val="99"/>
    <w:rsid w:val="00B31D39"/>
    <w:pPr>
      <w:numPr>
        <w:numId w:val="2"/>
      </w:numPr>
    </w:pPr>
  </w:style>
  <w:style w:customStyle="1" w:styleId="CurrentList2" w:type="numbering">
    <w:name w:val="Current List2"/>
    <w:uiPriority w:val="99"/>
    <w:rsid w:val="00B31D39"/>
    <w:pPr>
      <w:numPr>
        <w:numId w:val="4"/>
      </w:numPr>
    </w:pPr>
  </w:style>
  <w:style w:styleId="TableGrid" w:type="table">
    <w:name w:val="Table Grid"/>
    <w:basedOn w:val="TableNormal"/>
    <w:uiPriority w:val="39"/>
    <w:rsid w:val="008852B8"/>
    <w:pPr>
      <w:spacing w:after="0" w:line="240" w:lineRule="auto"/>
    </w:pPr>
    <w:rPr>
      <w:rFonts w:ascii="Calibri" w:hAnsi="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blStylePr w:type="firstRow">
      <w:rPr>
        <w:b/>
      </w:rPr>
      <w:tblPr/>
      <w:tcPr>
        <w:shd w:color="auto" w:fill="A5C9EB" w:themeFill="text2" w:themeFillTint="40" w:val="clear"/>
      </w:tcPr>
    </w:tblStylePr>
  </w:style>
  <w:style w:styleId="PlainTable1" w:type="table">
    <w:name w:val="Plain Table 1"/>
    <w:basedOn w:val="TableNormal"/>
    <w:uiPriority w:val="41"/>
    <w:rsid w:val="00E820F7"/>
    <w:pPr>
      <w:spacing w:after="0" w:line="240" w:lineRule="auto"/>
    </w:pPr>
    <w:tblPr>
      <w:tblStyleRowBandSize w:val="1"/>
      <w:tblStyleColBandSize w:val="1"/>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tblStylePr w:type="firstRow">
      <w:rPr>
        <w:b/>
        <w:bCs/>
      </w:rPr>
    </w:tblStylePr>
    <w:tblStylePr w:type="lastRow">
      <w:rPr>
        <w:b/>
        <w:bCs/>
      </w:rPr>
      <w:tblPr/>
      <w:tcPr>
        <w:tcBorders>
          <w:top w:color="BFBFBF" w:space="0" w:sz="4" w:themeColor="background1" w:themeShade="BF" w:val="double"/>
        </w:tcBorders>
      </w:tcPr>
    </w:tblStylePr>
    <w:tblStylePr w:type="firstCol">
      <w:rPr>
        <w:b/>
        <w:bCs/>
      </w:rPr>
    </w:tblStylePr>
    <w:tblStylePr w:type="lastCol">
      <w:rPr>
        <w:b/>
        <w:bCs/>
      </w:rPr>
    </w:tblStylePr>
    <w:tblStylePr w:type="band1Vert">
      <w:tblPr/>
      <w:tcPr>
        <w:shd w:color="auto" w:fill="F2F2F2" w:themeFill="background1" w:themeFillShade="F2" w:val="clear"/>
      </w:tcPr>
    </w:tblStylePr>
    <w:tblStylePr w:type="band1Horz">
      <w:tblPr/>
      <w:tcPr>
        <w:shd w:color="auto" w:fill="F2F2F2" w:themeFill="background1" w:themeFillShade="F2" w:val="clear"/>
      </w:tcPr>
    </w:tblStylePr>
  </w:style>
  <w:style w:customStyle="1" w:styleId="SourceCode" w:type="paragraph">
    <w:name w:val="Source Code"/>
    <w:basedOn w:val="Normal"/>
    <w:pPr>
      <w:wordWrap w:val="0"/>
    </w:p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Pr>
      <w:i/>
      <w:color w:val="60A0B0"/>
    </w:rPr>
  </w:style>
  <w:style w:customStyle="1" w:styleId="DocumentationTok" w:type="character">
    <w:name w:val="DocumentationTok"/>
    <w:rPr>
      <w:i/>
      <w:color w:val="BA2121"/>
    </w:rPr>
  </w:style>
  <w:style w:customStyle="1" w:styleId="AnnotationTok" w:type="character">
    <w:name w:val="AnnotationTok"/>
    <w:rPr>
      <w:b/>
      <w:i/>
      <w:color w:val="60A0B0"/>
    </w:rPr>
  </w:style>
  <w:style w:customStyle="1" w:styleId="CommentVarTok" w:type="character">
    <w:name w:val="CommentVarTok"/>
    <w:rPr>
      <w:b/>
      <w:i/>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Pr>
      <w:b/>
      <w:i/>
      <w:color w:val="60A0B0"/>
    </w:rPr>
  </w:style>
  <w:style w:customStyle="1" w:styleId="WarningTok" w:type="character">
    <w:name w:val="WarningTok"/>
    <w:rPr>
      <w:b/>
      <w:i/>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7" Type="http://schemas.openxmlformats.org/officeDocument/2006/relationships/footnotes" Target="footnotes.xml"/><Relationship Id="rId8" Type="http://schemas.openxmlformats.org/officeDocument/2006/relationships/comments" Target="comments.xml"/><Relationship Id="rId30" Type="http://schemas.openxmlformats.org/officeDocument/2006/relationships/image" Target="media/rId30.png"/><Relationship Id="rId23" Type="http://schemas.openxmlformats.org/officeDocument/2006/relationships/image" Target="media/rId23.png"/><Relationship Id="rId20" Type="http://schemas.openxmlformats.org/officeDocument/2006/relationships/image" Target="media/rId20.png"/><Relationship Id="rId35" Type="http://schemas.openxmlformats.org/officeDocument/2006/relationships/hyperlink" Target="https://www.inrs.fr/publications/bdd/fichetox/fiche.html?refINRS=FICHETOX_48" TargetMode="External"/><Relationship Id="rId38" Type="http://schemas.openxmlformats.org/officeDocument/2006/relationships/hyperlink" Target="https://www.inrs.fr/publications/bdd/fichetox/fiche.html?refINRS=FICHETOX_48&amp;section=VLEPMesurage" TargetMode="External"/><Relationship Id="rId43" Type="http://schemas.openxmlformats.org/officeDocument/2006/relationships/hyperlink" Target="https://www.inrs.fr/publications/bdd/fichetox/fiche.html?refINRS=FICHETOX_48&amp;section=bibliographieAuteurs" TargetMode="External"/><Relationship Id="rId37" Type="http://schemas.openxmlformats.org/officeDocument/2006/relationships/hyperlink" Target="https://www.inrs.fr/publications/bdd/fichetox/fiche.html?refINRS=FICHETOX_48&amp;section=caracteristiques" TargetMode="External"/><Relationship Id="rId36" Type="http://schemas.openxmlformats.org/officeDocument/2006/relationships/hyperlink" Target="https://www.inrs.fr/publications/bdd/fichetox/fiche.html?refINRS=FICHETOX_48&amp;section=generalites" TargetMode="External"/><Relationship Id="rId39" Type="http://schemas.openxmlformats.org/officeDocument/2006/relationships/hyperlink" Target="https://www.inrs.fr/publications/bdd/fichetox/fiche.html?refINRS=FICHETOX_48&amp;section=incendieExplosion" TargetMode="External"/><Relationship Id="rId40" Type="http://schemas.openxmlformats.org/officeDocument/2006/relationships/hyperlink" Target="https://www.inrs.fr/publications/bdd/fichetox/fiche.html?refINRS=FICHETOX_48&amp;section=pathologieToxicologie" TargetMode="External"/><Relationship Id="rId42" Type="http://schemas.openxmlformats.org/officeDocument/2006/relationships/hyperlink" Target="https://www.inrs.fr/publications/bdd/fichetox/fiche.html?refINRS=FICHETOX_48&amp;section=recommandations" TargetMode="External"/><Relationship Id="rId41" Type="http://schemas.openxmlformats.org/officeDocument/2006/relationships/hyperlink" Target="https://www.inrs.fr/publications/bdd/fichetox/fiche.html?refINRS=FICHETOX_48&amp;section=reglementation" TargetMode="External"/></Relationships>
</file>

<file path=word/_rels/footnotes.xml.rels><?xml version='1.0' encoding='UTF-8' standalone='yes'?>
<Relationships xmlns="http://schemas.openxmlformats.org/package/2006/relationships"><Relationship Id="rId35" Type="http://schemas.openxmlformats.org/officeDocument/2006/relationships/hyperlink" Target="https://www.inrs.fr/publications/bdd/fichetox/fiche.html?refINRS=FICHETOX_48" TargetMode="External"/><Relationship Id="rId38" Type="http://schemas.openxmlformats.org/officeDocument/2006/relationships/hyperlink" Target="https://www.inrs.fr/publications/bdd/fichetox/fiche.html?refINRS=FICHETOX_48&amp;section=VLEPMesurage" TargetMode="External"/><Relationship Id="rId43" Type="http://schemas.openxmlformats.org/officeDocument/2006/relationships/hyperlink" Target="https://www.inrs.fr/publications/bdd/fichetox/fiche.html?refINRS=FICHETOX_48&amp;section=bibliographieAuteurs" TargetMode="External"/><Relationship Id="rId37" Type="http://schemas.openxmlformats.org/officeDocument/2006/relationships/hyperlink" Target="https://www.inrs.fr/publications/bdd/fichetox/fiche.html?refINRS=FICHETOX_48&amp;section=caracteristiques" TargetMode="External"/><Relationship Id="rId36" Type="http://schemas.openxmlformats.org/officeDocument/2006/relationships/hyperlink" Target="https://www.inrs.fr/publications/bdd/fichetox/fiche.html?refINRS=FICHETOX_48&amp;section=generalites" TargetMode="External"/><Relationship Id="rId39" Type="http://schemas.openxmlformats.org/officeDocument/2006/relationships/hyperlink" Target="https://www.inrs.fr/publications/bdd/fichetox/fiche.html?refINRS=FICHETOX_48&amp;section=incendieExplosion" TargetMode="External"/><Relationship Id="rId40" Type="http://schemas.openxmlformats.org/officeDocument/2006/relationships/hyperlink" Target="https://www.inrs.fr/publications/bdd/fichetox/fiche.html?refINRS=FICHETOX_48&amp;section=pathologieToxicologie" TargetMode="External"/><Relationship Id="rId42" Type="http://schemas.openxmlformats.org/officeDocument/2006/relationships/hyperlink" Target="https://www.inrs.fr/publications/bdd/fichetox/fiche.html?refINRS=FICHETOX_48&amp;section=recommandations" TargetMode="External"/><Relationship Id="rId41" Type="http://schemas.openxmlformats.org/officeDocument/2006/relationships/hyperlink" Target="https://www.inrs.fr/publications/bdd/fichetox/fiche.html?refINRS=FICHETOX_48&amp;section=reglement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28</Words>
  <Characters>129</Characters>
  <Application>Microsoft Office Word</Application>
  <DocSecurity>0</DocSecurity>
  <Lines>11</Lines>
  <Paragraphs>13</Paragraphs>
  <ScaleCrop>false</ScaleCrop>
  <Company/>
  <LinksUpToDate>false</LinksUpToDate>
  <CharactersWithSpaces>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2026-04-01T19:18:14Z</dcterms:created>
  <dcterms:modified xsi:type="dcterms:W3CDTF">2026-04-01T19:18:14Z</dcterms:modified>
</cp:coreProperties>
</file>

<file path=docProps/custom.xml><?xml version="1.0" encoding="utf-8"?>
<Properties xmlns="http://schemas.openxmlformats.org/officeDocument/2006/custom-properties" xmlns:vt="http://schemas.openxmlformats.org/officeDocument/2006/docPropsVTypes"/>
</file>