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diversey-taskisaniacidw3fwat-tub-grez-hain-vlvok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Diversey Europe Operations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diversey-taskisaniacidw3fwat-tub-grez-hain-vlvok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1" w:name="X9351db3d5790e3e8b6a7d2e8aa2e7ea33a13130"/>
    <w:p>
      <w:pPr>
        <w:pStyle w:val="Heading1"/>
      </w:pPr>
      <w:r>
        <w:t xml:space="preserve">Analyse des dangers : diversey-taskisaniacidw3fwat-tub-grez-hain-vlvok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diversey-taskisaniacidw3fwat-tub-grez-hain-vlvok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Diversey Europe Operations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 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Uniquement pour usage professionnel : nettoyant sanitaires (procédé manuel ; ou procédé manuel par pulvérisation et essuyage).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2017-12-26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2017-12-26.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8</w:t>
      </w:r>
    </w:p>
    <w:p>
      <w:pPr>
        <w:pStyle w:val="Compact"/>
        <w:numPr>
          <w:ilvl w:val="0"/>
          <w:numId w:val="1005"/>
        </w:numPr>
      </w:pPr>
      <w:r>
        <w:t xml:space="preserve">RID : Classe 8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Classe 8</w:t>
      </w:r>
    </w:p>
    <w:p>
      <w:pPr>
        <w:pStyle w:val="Compact"/>
        <w:numPr>
          <w:ilvl w:val="0"/>
          <w:numId w:val="1005"/>
        </w:numPr>
      </w:pPr>
      <w:r>
        <w:t xml:space="preserve">IATA : Classe 8</w:t>
      </w:r>
    </w:p>
    <w:p>
      <w:pPr>
        <w:pStyle w:val="Compact"/>
        <w:numPr>
          <w:ilvl w:val="0"/>
          <w:numId w:val="1005"/>
        </w:numPr>
      </w:pPr>
      <w:r>
        <w:t xml:space="preserve">UN : 1805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 tiède, à faible débit pendant au moins 30 minutes.</w:t>
      </w:r>
      <w:r>
        <w:t xml:space="preserve"> </w:t>
      </w:r>
      <w:r>
        <w:t xml:space="preserve">Enlever immédiatement tous les vêtements contaminés et les laver avant réutilisation.</w:t>
      </w:r>
      <w:r>
        <w:t xml:space="preserve"> </w:t>
      </w:r>
      <w:r>
        <w:t xml:space="preserve">Appeler immédiatement un CENTRE ANTIPOISON ou un médecin.</w:t>
      </w:r>
    </w:p>
    <w:p>
      <w:pPr>
        <w:pStyle w:val="BodyText"/>
      </w:pPr>
      <w:r>
        <w:t xml:space="preserve">eyes : Rincer immédiatement les yeux avec précaution à l’eau tiède pendant plusieurs minutes.</w:t>
      </w:r>
      <w:r>
        <w:t xml:space="preserve"> </w:t>
      </w:r>
      <w:r>
        <w:t xml:space="preserve">Enlever les lentilles de contact si la victime en porte et si elles peuvent être facilement enlevées.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Appeler immédiatement un CENTRE ANTIPOISON ou un médecin.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Boire immédiatement un verre d’eau.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Garder tranquille.</w:t>
      </w:r>
      <w:r>
        <w:t xml:space="preserve"> </w:t>
      </w:r>
      <w:r>
        <w:t xml:space="preserve">Appeler immédiatement un CENTRE ANTIPOISON ou un médecin.</w:t>
      </w:r>
    </w:p>
    <w:p>
      <w:pPr>
        <w:pStyle w:val="BodyText"/>
      </w:pPr>
      <w:r>
        <w:t xml:space="preserve">inhalation : Consulter un médecin en cas de malaise.</w:t>
      </w:r>
    </w:p>
    <w:p>
      <w:r>
        <w:br w:type="page"/>
      </w:r>
    </w:p>
    <w:bookmarkEnd w:id="34"/>
    <w:bookmarkStart w:id="4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acide-phosphorique"/>
    <w:p>
      <w:pPr>
        <w:pStyle w:val="Heading3"/>
      </w:pPr>
      <w:r>
        <w:t xml:space="preserve">acide phosphorique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7664-38-2</w:t>
      </w:r>
    </w:p>
    <w:p>
      <w:pPr>
        <w:pStyle w:val="Compact"/>
        <w:numPr>
          <w:ilvl w:val="0"/>
          <w:numId w:val="1006"/>
        </w:numPr>
      </w:pPr>
      <w:r>
        <w:t xml:space="preserve">N° EINECS : 231-633-2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30.0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1.0 - VLE-15min (mg/m³) : 2.0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 n°37 - Acide phosphorique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Explosion[1-3, 4]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Start w:id="47" w:name="alcool-éthoxylate-dalkyle"/>
    <w:p>
      <w:pPr>
        <w:pStyle w:val="Heading3"/>
      </w:pPr>
      <w:r>
        <w:t xml:space="preserve">alcool éthoxylate d’alkyle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69011-36-5</w:t>
      </w:r>
    </w:p>
    <w:p>
      <w:pPr>
        <w:pStyle w:val="Compact"/>
        <w:numPr>
          <w:ilvl w:val="0"/>
          <w:numId w:val="1009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6"/>
    <w:bookmarkEnd w:id="47"/>
    <w:bookmarkEnd w:id="48"/>
    <w:bookmarkStart w:id="4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résistant aux produits chimiques conformes à la norme EN 374. Vérifier la perméabilité et le délai de pénétration selon le fournisseur.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yeux/du visage • Écrans faciaux : lunettes de sécurité ou masques protecteurs conformes à la norme EN 166.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caoutchouc butyle (pour contact prolongé) ou caoutchouc nitrile (pour éclaboussures). • Temps de pénétration : ≥ 480 min pour le caoutchouc butyle, ≥ 30 min pour le caoutchouc nitrile. • Épaisseur : ≥ 0,7 mm pour le caoutchouc butyle, ≥ 0,4 mm pour le caoutchouc nitrile.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Aucune exigence particulière dans les conditions normales d’utilisation.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résistant aux produits chimiques (combinaison ou vêtements de protection) et bottes, conformes à la norme EN 14605.</w:t>
            </w:r>
          </w:p>
        </w:tc>
      </w:tr>
    </w:tbl>
    <w:bookmarkEnd w:id="49"/>
    <w:bookmarkStart w:id="5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de précautions spéciales requises.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 : - Conserver le produit uniquement dans son récipient d’origine. - Stocker dans un récipient fermé. - Respecter les réglementations locales et nationales applicables. Incompatibilités : - Le produit réagit avec les alcalins et les métaux. - Il doit être conservé à l’écart des produits contenant des agents de blanchiment chlorés ou des sulfites.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Uniquement pour usage professionnel : nettoyant sanitaires (procédé manuel ; ou procédé manuel par pulvérisation et essuyage).</w:t>
            </w:r>
          </w:p>
        </w:tc>
      </w:tr>
    </w:tbl>
    <w:bookmarkEnd w:id="50"/>
    <w:bookmarkEnd w:id="5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5" Type="http://schemas.openxmlformats.org/officeDocument/2006/relationships/hyperlink" Target="https://www.inrs.fr/publications/bdd/fichetox/fiche.html?refINRS=FICHETOX_37" TargetMode="External"/><Relationship Id="rId38" Type="http://schemas.openxmlformats.org/officeDocument/2006/relationships/hyperlink" Target="https://www.inrs.fr/publications/bdd/fichetox/fiche.html?refINRS=FICHETOX_37&amp;section=VLEPMesurage" TargetMode="External"/><Relationship Id="rId43" Type="http://schemas.openxmlformats.org/officeDocument/2006/relationships/hyperlink" Target="https://www.inrs.fr/publications/bdd/fichetox/fiche.html?refINRS=FICHETOX_37&amp;section=bibliographieAuteurs" TargetMode="External"/><Relationship Id="rId37" Type="http://schemas.openxmlformats.org/officeDocument/2006/relationships/hyperlink" Target="https://www.inrs.fr/publications/bdd/fichetox/fiche.html?refINRS=FICHETOX_37&amp;section=caracteristiques" TargetMode="External"/><Relationship Id="rId36" Type="http://schemas.openxmlformats.org/officeDocument/2006/relationships/hyperlink" Target="https://www.inrs.fr/publications/bdd/fichetox/fiche.html?refINRS=FICHETOX_37&amp;section=generalites" TargetMode="External"/><Relationship Id="rId39" Type="http://schemas.openxmlformats.org/officeDocument/2006/relationships/hyperlink" Target="https://www.inrs.fr/publications/bdd/fichetox/fiche.html?refINRS=FICHETOX_37&amp;section=incendieExplosion" TargetMode="External"/><Relationship Id="rId40" Type="http://schemas.openxmlformats.org/officeDocument/2006/relationships/hyperlink" Target="https://www.inrs.fr/publications/bdd/fichetox/fiche.html?refINRS=FICHETOX_37&amp;section=pathologieToxicologie" TargetMode="External"/><Relationship Id="rId42" Type="http://schemas.openxmlformats.org/officeDocument/2006/relationships/hyperlink" Target="https://www.inrs.fr/publications/bdd/fichetox/fiche.html?refINRS=FICHETOX_37&amp;section=recommandations" TargetMode="External"/><Relationship Id="rId41" Type="http://schemas.openxmlformats.org/officeDocument/2006/relationships/hyperlink" Target="https://www.inrs.fr/publications/bdd/fichetox/fiche.html?refINRS=FICHETOX_37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5" Type="http://schemas.openxmlformats.org/officeDocument/2006/relationships/hyperlink" Target="https://www.inrs.fr/publications/bdd/fichetox/fiche.html?refINRS=FICHETOX_37" TargetMode="External"/><Relationship Id="rId38" Type="http://schemas.openxmlformats.org/officeDocument/2006/relationships/hyperlink" Target="https://www.inrs.fr/publications/bdd/fichetox/fiche.html?refINRS=FICHETOX_37&amp;section=VLEPMesurage" TargetMode="External"/><Relationship Id="rId43" Type="http://schemas.openxmlformats.org/officeDocument/2006/relationships/hyperlink" Target="https://www.inrs.fr/publications/bdd/fichetox/fiche.html?refINRS=FICHETOX_37&amp;section=bibliographieAuteurs" TargetMode="External"/><Relationship Id="rId37" Type="http://schemas.openxmlformats.org/officeDocument/2006/relationships/hyperlink" Target="https://www.inrs.fr/publications/bdd/fichetox/fiche.html?refINRS=FICHETOX_37&amp;section=caracteristiques" TargetMode="External"/><Relationship Id="rId36" Type="http://schemas.openxmlformats.org/officeDocument/2006/relationships/hyperlink" Target="https://www.inrs.fr/publications/bdd/fichetox/fiche.html?refINRS=FICHETOX_37&amp;section=generalites" TargetMode="External"/><Relationship Id="rId39" Type="http://schemas.openxmlformats.org/officeDocument/2006/relationships/hyperlink" Target="https://www.inrs.fr/publications/bdd/fichetox/fiche.html?refINRS=FICHETOX_37&amp;section=incendieExplosion" TargetMode="External"/><Relationship Id="rId40" Type="http://schemas.openxmlformats.org/officeDocument/2006/relationships/hyperlink" Target="https://www.inrs.fr/publications/bdd/fichetox/fiche.html?refINRS=FICHETOX_37&amp;section=pathologieToxicologie" TargetMode="External"/><Relationship Id="rId42" Type="http://schemas.openxmlformats.org/officeDocument/2006/relationships/hyperlink" Target="https://www.inrs.fr/publications/bdd/fichetox/fiche.html?refINRS=FICHETOX_37&amp;section=recommandations" TargetMode="External"/><Relationship Id="rId41" Type="http://schemas.openxmlformats.org/officeDocument/2006/relationships/hyperlink" Target="https://www.inrs.fr/publications/bdd/fichetox/fiche.html?refINRS=FICHETOX_37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2026-04-01T21:24:44Z</dcterms:created>
  <dcterms:modified xsi:type="dcterms:W3CDTF">2026-04-01T21:24:44Z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