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diversey-taskisanicalcw3bwat-tub-grez-hain-vlv-rosok</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Diversey Europe Operations BV</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2026-04-02</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diversey-taskisanicalcw3bwat-tub-grez-hain-vlv-rosok</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54" w:name="X2e24470a0de9e5ca8be6e520e7bd45bb484e7ad"/>
    <w:p>
      <w:pPr>
        <w:pStyle w:val="Heading1"/>
      </w:pPr>
      <w:r>
        <w:t xml:space="preserve">Analyse des dangers : diversey-taskisanicalcw3bwat-tub-grez-hain-vlv-rosok</w:t>
      </w:r>
    </w:p>
    <w:p>
      <w:pPr>
        <w:pStyle w:val="FirstParagraph"/>
      </w:pPr>
      <w:r>
        <w:t xml:space="preserve">Dans la suite, nous détaillons les dangers associés au produit</w:t>
      </w:r>
      <w:r>
        <w:t xml:space="preserve"> </w:t>
      </w:r>
      <w:r>
        <w:rPr>
          <w:b/>
          <w:bCs/>
        </w:rPr>
        <w:t xml:space="preserve">diversey-taskisanicalcw3bwat-tub-grez-hain-vlv-rosok</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Diversey Europe Operations BV</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&lt; 2</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Usage prévu : uniquement pour usage professionnel ; détartrant (procédé manuel) et nettoyant sols (procédé manuel).</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2017-12-26</w:t>
            </w:r>
          </w:p>
        </w:tc>
      </w:tr>
    </w:tbl>
    <w:p>
      <w:pPr>
        <w:pStyle w:val="BodyText"/>
      </w:pPr>
      <w:r>
        <w:t xml:space="preserve"> </w:t>
      </w:r>
      <w:r>
        <w:t xml:space="preserve">La FDS date du 2017-12-26. Elle a donc 8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a identifié les erreurs de classification potentielles suivantes dans la FDS :</w:t>
      </w:r>
    </w:p>
    <w:p>
      <w:pPr>
        <w:pStyle w:val="Compact"/>
        <w:numPr>
          <w:ilvl w:val="0"/>
          <w:numId w:val="1003"/>
        </w:numPr>
      </w:pPr>
      <w:r>
        <w:t xml:space="preserve">Le pH du produit impose la classification H314.</w:t>
      </w:r>
      <w:r>
        <w:br/>
      </w:r>
    </w:p>
    <w:p>
      <w:pPr>
        <w:pStyle w:val="Compact"/>
        <w:numPr>
          <w:ilvl w:val="0"/>
          <w:numId w:val="1003"/>
        </w:numPr>
      </w:pPr>
      <w:r>
        <w:t xml:space="preserve">La substance diversey-taskisanicalcw3bwat-tub-grez-hain-vlv-rosok devrait être classée H314 selon les dernières classifications harmonisées publiées par l’ECHA.</w:t>
      </w:r>
    </w:p>
    <w:bookmarkEnd w:id="28"/>
    <w:bookmarkEnd w:id="29"/>
    <w:bookmarkStart w:id="36"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Corrosif" title="" id="31" name="Picture"/>
            <a:graphic>
              <a:graphicData uri="http://schemas.openxmlformats.org/drawingml/2006/picture">
                <pic:pic>
                  <pic:nvPicPr>
                    <pic:cNvPr descr="templates/SGH05.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Corrosif</w:t>
      </w:r>
    </w:p>
    <w:p>
      <w:pPr>
        <w:pStyle w:val="BodyText"/>
      </w:pPr>
      <w:r>
        <w:drawing>
          <wp:inline>
            <wp:extent cx="719999" cy="719999"/>
            <wp:effectExtent b="0" l="0" r="0" t="0"/>
            <wp:docPr descr="Nocif / Irritant" title="" id="34" name="Picture"/>
            <a:graphic>
              <a:graphicData uri="http://schemas.openxmlformats.org/drawingml/2006/picture">
                <pic:pic>
                  <pic:nvPicPr>
                    <pic:cNvPr descr="templates/SGH07.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p>
    <w:p>
      <w:pPr>
        <w:pStyle w:val="BodyText"/>
      </w:pPr>
      <w:r>
        <w:rPr>
          <w:b/>
          <w:bCs/>
        </w:rPr>
        <w:t xml:space="preserve">Mentions de danger</w:t>
      </w:r>
      <w:r>
        <w:t xml:space="preserve"> </w:t>
      </w:r>
      <w:r>
        <w:t xml:space="preserve">:</w:t>
      </w:r>
    </w:p>
    <w:p>
      <w:pPr>
        <w:numPr>
          <w:ilvl w:val="0"/>
          <w:numId w:val="1004"/>
        </w:numPr>
      </w:pPr>
      <w:r>
        <w:t xml:space="preserve">H290</w:t>
      </w:r>
      <w:r>
        <w:t xml:space="preserve"> </w:t>
      </w:r>
      <w:r>
        <w:t xml:space="preserve">Peut être corrosif pour les métaux.</w:t>
      </w:r>
    </w:p>
    <w:p>
      <w:pPr>
        <w:numPr>
          <w:ilvl w:val="0"/>
          <w:numId w:val="1004"/>
        </w:numPr>
      </w:pPr>
      <w:r>
        <w:t xml:space="preserve">H315</w:t>
      </w:r>
      <w:r>
        <w:t xml:space="preserve"> </w:t>
      </w:r>
      <w:r>
        <w:t xml:space="preserve">Provoque une irritation cutanée.</w:t>
      </w:r>
    </w:p>
    <w:p>
      <w:pPr>
        <w:numPr>
          <w:ilvl w:val="0"/>
          <w:numId w:val="1004"/>
        </w:numPr>
      </w:pPr>
      <w:r>
        <w:t xml:space="preserve">H318</w:t>
      </w:r>
      <w:r>
        <w:t xml:space="preserve"> </w:t>
      </w:r>
      <w:r>
        <w:t xml:space="preserve">Provoque des lésions oculaires graves.</w:t>
      </w:r>
    </w:p>
    <w:p>
      <w:pPr>
        <w:pStyle w:val="FirstParagraph"/>
      </w:pPr>
      <w:r>
        <w:rPr>
          <w:b/>
          <w:bCs/>
        </w:rPr>
        <w:t xml:space="preserve">Conseils de prudence</w:t>
      </w:r>
      <w:r>
        <w:t xml:space="preserve"> </w:t>
      </w:r>
      <w:r>
        <w:t xml:space="preserve">:</w:t>
      </w:r>
    </w:p>
    <w:p>
      <w:pPr>
        <w:numPr>
          <w:ilvl w:val="0"/>
          <w:numId w:val="1005"/>
        </w:numPr>
      </w:pPr>
      <w:r>
        <w:t xml:space="preserve">P280</w:t>
      </w:r>
      <w:r>
        <w:t xml:space="preserve"> </w:t>
      </w:r>
      <w:r>
        <w:t xml:space="preserve">Porter des gants de protection/des vêtements de protection/un équipement de protection des yeux/ du visage.</w:t>
      </w:r>
    </w:p>
    <w:p>
      <w:pPr>
        <w:numPr>
          <w:ilvl w:val="0"/>
          <w:numId w:val="1005"/>
        </w:numPr>
      </w:pPr>
      <w:r>
        <w:t xml:space="preserve">P305+P351+P338</w:t>
      </w:r>
      <w:r>
        <w:t xml:space="preserve"> </w:t>
      </w:r>
      <w:r>
        <w:t xml:space="preserve">EN CAS DE CONTACT AVEC LES YEUX: rincer avec précaution à l’eau pendant plusieurs minutes. Enlever les lentilles de contact si la victime en porte et si elles peuvent être facilement enlevées. Continuer à rincer.</w:t>
      </w:r>
    </w:p>
    <w:p>
      <w:pPr>
        <w:numPr>
          <w:ilvl w:val="0"/>
          <w:numId w:val="1005"/>
        </w:numPr>
      </w:pPr>
      <w:r>
        <w:t xml:space="preserve">P310</w:t>
      </w:r>
      <w:r>
        <w:t xml:space="preserve"> </w:t>
      </w:r>
      <w:r>
        <w:t xml:space="preserve">P310</w:t>
      </w:r>
    </w:p>
    <w:p>
      <w:pPr>
        <w:pStyle w:val="FirstParagraph"/>
      </w:pPr>
      <w:r>
        <w:rPr>
          <w:b/>
          <w:bCs/>
        </w:rPr>
        <w:t xml:space="preserve">Transport</w:t>
      </w:r>
      <w:r>
        <w:t xml:space="preserve"> </w:t>
      </w:r>
      <w:r>
        <w:t xml:space="preserve">:</w:t>
      </w:r>
    </w:p>
    <w:p>
      <w:pPr>
        <w:pStyle w:val="Compact"/>
        <w:numPr>
          <w:ilvl w:val="0"/>
          <w:numId w:val="1006"/>
        </w:numPr>
      </w:pPr>
      <w:r>
        <w:t xml:space="preserve">ADR : 8</w:t>
      </w:r>
    </w:p>
    <w:p>
      <w:pPr>
        <w:pStyle w:val="Compact"/>
        <w:numPr>
          <w:ilvl w:val="0"/>
          <w:numId w:val="1006"/>
        </w:numPr>
      </w:pPr>
      <w:r>
        <w:t xml:space="preserve">RID : 8</w:t>
      </w:r>
    </w:p>
    <w:p>
      <w:pPr>
        <w:pStyle w:val="Compact"/>
        <w:numPr>
          <w:ilvl w:val="0"/>
          <w:numId w:val="1006"/>
        </w:numPr>
      </w:pPr>
      <w:r>
        <w:t xml:space="preserve">ADN : pas disponible</w:t>
      </w:r>
    </w:p>
    <w:p>
      <w:pPr>
        <w:pStyle w:val="Compact"/>
        <w:numPr>
          <w:ilvl w:val="0"/>
          <w:numId w:val="1006"/>
        </w:numPr>
      </w:pPr>
      <w:r>
        <w:t xml:space="preserve">IMDG : pas disponible</w:t>
      </w:r>
    </w:p>
    <w:p>
      <w:pPr>
        <w:pStyle w:val="Compact"/>
        <w:numPr>
          <w:ilvl w:val="0"/>
          <w:numId w:val="1006"/>
        </w:numPr>
      </w:pPr>
      <w:r>
        <w:t xml:space="preserve">IATA : pas disponible</w:t>
      </w:r>
    </w:p>
    <w:p>
      <w:pPr>
        <w:pStyle w:val="Compact"/>
        <w:numPr>
          <w:ilvl w:val="0"/>
          <w:numId w:val="1006"/>
        </w:numPr>
      </w:pPr>
      <w:r>
        <w:t xml:space="preserve">UN : 1805</w:t>
      </w:r>
    </w:p>
    <w:bookmarkEnd w:id="36"/>
    <w:bookmarkStart w:id="37" w:name="Xda6f178de632779b007ca26fa4959a763d2c7f4"/>
    <w:p>
      <w:pPr>
        <w:pStyle w:val="Heading2"/>
      </w:pPr>
      <w:r>
        <w:t xml:space="preserve">Dangers et/ou mesures par voie d’exposition</w:t>
      </w:r>
    </w:p>
    <w:p>
      <w:pPr>
        <w:pStyle w:val="FirstParagraph"/>
      </w:pPr>
      <w:r>
        <w:t xml:space="preserve">skin : Laver la peau avec beaucoup d’eau tiède, à faible débit.</w:t>
      </w:r>
      <w:r>
        <w:t xml:space="preserve"> </w:t>
      </w:r>
      <w:r>
        <w:t xml:space="preserve">Enlever immédiatement tous les vêtements contaminés et les laver avant réutilisation.</w:t>
      </w:r>
      <w:r>
        <w:t xml:space="preserve"> </w:t>
      </w:r>
      <w:r>
        <w:t xml:space="preserve">En cas d’irritation cutanée, consulter un médecin.</w:t>
      </w:r>
    </w:p>
    <w:p>
      <w:pPr>
        <w:pStyle w:val="BodyText"/>
      </w:pPr>
      <w:r>
        <w:t xml:space="preserve">eyes : Rincer immédiatement les yeux avec précaution à l’eau tiède pendant plusieurs minutes.</w:t>
      </w:r>
      <w:r>
        <w:t xml:space="preserve"> </w:t>
      </w:r>
      <w:r>
        <w:t xml:space="preserve">Enlever les lentilles de contact si la victime en porte et si elles peuvent être facilement enlevées.</w:t>
      </w:r>
      <w:r>
        <w:t xml:space="preserve"> </w:t>
      </w:r>
      <w:r>
        <w:t xml:space="preserve">Continuer à rincer.</w:t>
      </w:r>
      <w:r>
        <w:t xml:space="preserve"> </w:t>
      </w:r>
      <w:r>
        <w:t xml:space="preserve">Appeler immédiatement un CENTRE ANTIPOISON ou un médecin.</w:t>
      </w:r>
    </w:p>
    <w:p>
      <w:pPr>
        <w:pStyle w:val="BodyText"/>
      </w:pPr>
      <w:r>
        <w:t xml:space="preserve">ingestion : Rincer la bouche.</w:t>
      </w:r>
      <w:r>
        <w:t xml:space="preserve"> </w:t>
      </w:r>
      <w:r>
        <w:t xml:space="preserve">Boire immédiatement un verre d’eau.</w:t>
      </w:r>
      <w:r>
        <w:t xml:space="preserve"> </w:t>
      </w:r>
      <w:r>
        <w:t xml:space="preserve">Consulter un médecin en cas de malaise.</w:t>
      </w:r>
    </w:p>
    <w:p>
      <w:pPr>
        <w:pStyle w:val="BodyText"/>
      </w:pPr>
      <w:r>
        <w:t xml:space="preserve">inhalation : Consulter un médecin en cas de malaise.</w:t>
      </w:r>
    </w:p>
    <w:p>
      <w:r>
        <w:br w:type="page"/>
      </w:r>
    </w:p>
    <w:bookmarkEnd w:id="37"/>
    <w:bookmarkStart w:id="51" w:name="Xd3fd47f9279b52cc9d4b00e07bdfde0bea6594f"/>
    <w:p>
      <w:pPr>
        <w:pStyle w:val="Heading2"/>
      </w:pPr>
      <w:r>
        <w:t xml:space="preserve">Informations relatives aux substances dangereuses présentes</w:t>
      </w:r>
    </w:p>
    <w:bookmarkStart w:id="48" w:name="acide-phosphorique"/>
    <w:p>
      <w:pPr>
        <w:pStyle w:val="Heading3"/>
      </w:pPr>
      <w:r>
        <w:t xml:space="preserve">acide phosphorique</w:t>
      </w:r>
    </w:p>
    <w:p>
      <w:pPr>
        <w:pStyle w:val="FirstParagraph"/>
      </w:pPr>
      <w:r>
        <w:rPr>
          <w:b/>
          <w:bCs/>
        </w:rPr>
        <w:t xml:space="preserve">Identification</w:t>
      </w:r>
    </w:p>
    <w:p>
      <w:pPr>
        <w:pStyle w:val="Compact"/>
        <w:numPr>
          <w:ilvl w:val="0"/>
          <w:numId w:val="1007"/>
        </w:numPr>
      </w:pPr>
      <w:r>
        <w:t xml:space="preserve">N° CAS : 7664-38-2</w:t>
      </w:r>
    </w:p>
    <w:p>
      <w:pPr>
        <w:pStyle w:val="Compact"/>
        <w:numPr>
          <w:ilvl w:val="0"/>
          <w:numId w:val="1007"/>
        </w:numPr>
      </w:pPr>
      <w:r>
        <w:t xml:space="preserve">N° EINECS : 231-633-2</w:t>
      </w:r>
    </w:p>
    <w:p>
      <w:pPr>
        <w:pStyle w:val="FirstParagraph"/>
      </w:pPr>
      <w:r>
        <w:rPr>
          <w:b/>
          <w:bCs/>
        </w:rPr>
        <w:t xml:space="preserve">Concentration</w:t>
      </w:r>
      <w:r>
        <w:t xml:space="preserve"> </w:t>
      </w:r>
      <w:r>
        <w:t xml:space="preserve">:from 10.0 to 20.0</w:t>
      </w:r>
    </w:p>
    <w:p>
      <w:pPr>
        <w:pStyle w:val="BodyText"/>
      </w:pPr>
      <w:r>
        <w:rPr>
          <w:b/>
          <w:bCs/>
        </w:rPr>
        <w:t xml:space="preserve">Dangers</w:t>
      </w:r>
      <w:r>
        <w:t xml:space="preserve"> </w:t>
      </w:r>
      <w:r>
        <w:t xml:space="preserve">:</w:t>
      </w:r>
    </w:p>
    <w:p>
      <w:pPr>
        <w:numPr>
          <w:ilvl w:val="0"/>
          <w:numId w:val="1008"/>
        </w:numPr>
      </w:pPr>
      <w:r>
        <w:t xml:space="preserve">H290</w:t>
      </w:r>
      <w:r>
        <w:t xml:space="preserve"> </w:t>
      </w:r>
      <w:r>
        <w:t xml:space="preserve">Peut être corrosif pour les métaux.</w:t>
      </w:r>
    </w:p>
    <w:p>
      <w:pPr>
        <w:numPr>
          <w:ilvl w:val="0"/>
          <w:numId w:val="1008"/>
        </w:numPr>
      </w:pPr>
      <w:r>
        <w:t xml:space="preserve">H314</w:t>
      </w:r>
      <w:r>
        <w:t xml:space="preserve"> </w:t>
      </w:r>
      <w:r>
        <w:t xml:space="preserve">Provoque des brûlures de la peau et des lésions oculaires graves.</w:t>
      </w:r>
    </w:p>
    <w:p>
      <w:pPr>
        <w:numPr>
          <w:ilvl w:val="0"/>
          <w:numId w:val="1008"/>
        </w:numPr>
      </w:pPr>
      <w:r>
        <w:t xml:space="preserve">H318</w:t>
      </w:r>
      <w:r>
        <w:t xml:space="preserve"> </w:t>
      </w:r>
      <w:r>
        <w:t xml:space="preserve">Provoque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(mg/m³) : 1.0 - VLE-15min (mg/m³) : 2.0</w:t>
            </w:r>
          </w:p>
        </w:tc>
      </w:tr>
    </w:tbl>
    <w:bookmarkStart w:id="47" w:name="propriétés"/>
    <w:p>
      <w:pPr>
        <w:pStyle w:val="Heading4"/>
      </w:pPr>
      <w:r>
        <w:t xml:space="preserve">Propriétés</w:t>
      </w:r>
    </w:p>
    <w:p>
      <w:pPr>
        <w:pStyle w:val="FirstParagraph"/>
      </w:pPr>
      <w:hyperlink r:id="rId38">
        <w:r>
          <w:rPr>
            <w:rStyle w:val="Hyperlink"/>
            <w:color w:val="0856A0"/>
            <w:u w:val="single"/>
          </w:rPr>
          <w:t xml:space="preserve">Fiche n°37 - Acide phosphorique</w:t>
        </w:r>
      </w:hyperlink>
    </w:p>
    <w:p>
      <w:pPr>
        <w:numPr>
          <w:ilvl w:val="0"/>
          <w:numId w:val="1009"/>
        </w:numPr>
      </w:pPr>
      <w:hyperlink r:id="rId39">
        <w:r>
          <w:rPr>
            <w:rStyle w:val="Hyperlink"/>
            <w:color w:val="0856A0"/>
            <w:u w:val="single"/>
          </w:rPr>
          <w:t xml:space="preserve">Généralités</w:t>
        </w:r>
      </w:hyperlink>
    </w:p>
    <w:p>
      <w:pPr>
        <w:numPr>
          <w:ilvl w:val="0"/>
          <w:numId w:val="1009"/>
        </w:numPr>
      </w:pPr>
      <w:hyperlink r:id="rId40">
        <w:r>
          <w:rPr>
            <w:rStyle w:val="Hyperlink"/>
            <w:color w:val="0856A0"/>
            <w:u w:val="single"/>
          </w:rPr>
          <w:t xml:space="preserve">Caractéristiques</w:t>
        </w:r>
      </w:hyperlink>
    </w:p>
    <w:p>
      <w:pPr>
        <w:numPr>
          <w:ilvl w:val="0"/>
          <w:numId w:val="1009"/>
        </w:numPr>
      </w:pPr>
      <w:hyperlink r:id="rId41">
        <w:r>
          <w:rPr>
            <w:rStyle w:val="Hyperlink"/>
            <w:color w:val="0856A0"/>
            <w:u w:val="single"/>
          </w:rPr>
          <w:t xml:space="preserve">VLEPMesurage</w:t>
        </w:r>
      </w:hyperlink>
    </w:p>
    <w:p>
      <w:pPr>
        <w:numPr>
          <w:ilvl w:val="0"/>
          <w:numId w:val="1009"/>
        </w:numPr>
      </w:pPr>
      <w:hyperlink r:id="rId42">
        <w:r>
          <w:rPr>
            <w:rStyle w:val="Hyperlink"/>
            <w:color w:val="0856A0"/>
            <w:u w:val="single"/>
          </w:rPr>
          <w:t xml:space="preserve">Incendie - Explosion[1-3, 4]</w:t>
        </w:r>
      </w:hyperlink>
    </w:p>
    <w:p>
      <w:pPr>
        <w:numPr>
          <w:ilvl w:val="0"/>
          <w:numId w:val="1009"/>
        </w:numPr>
      </w:pPr>
      <w:hyperlink r:id="rId43">
        <w:r>
          <w:rPr>
            <w:rStyle w:val="Hyperlink"/>
            <w:color w:val="0856A0"/>
            <w:u w:val="single"/>
          </w:rPr>
          <w:t xml:space="preserve">Pathologie - Toxicologie</w:t>
        </w:r>
      </w:hyperlink>
    </w:p>
    <w:p>
      <w:pPr>
        <w:numPr>
          <w:ilvl w:val="0"/>
          <w:numId w:val="1009"/>
        </w:numPr>
      </w:pPr>
      <w:hyperlink r:id="rId44">
        <w:r>
          <w:rPr>
            <w:rStyle w:val="Hyperlink"/>
            <w:color w:val="0856A0"/>
            <w:u w:val="single"/>
          </w:rPr>
          <w:t xml:space="preserve">Règlementation</w:t>
        </w:r>
      </w:hyperlink>
    </w:p>
    <w:p>
      <w:pPr>
        <w:numPr>
          <w:ilvl w:val="0"/>
          <w:numId w:val="1009"/>
        </w:numPr>
      </w:pPr>
      <w:hyperlink r:id="rId45">
        <w:r>
          <w:rPr>
            <w:rStyle w:val="Hyperlink"/>
            <w:color w:val="0856A0"/>
            <w:u w:val="single"/>
          </w:rPr>
          <w:t xml:space="preserve">Recommandations</w:t>
        </w:r>
      </w:hyperlink>
    </w:p>
    <w:p>
      <w:pPr>
        <w:numPr>
          <w:ilvl w:val="0"/>
          <w:numId w:val="1009"/>
        </w:numPr>
      </w:pPr>
      <w:hyperlink r:id="rId46">
        <w:r>
          <w:rPr>
            <w:rStyle w:val="Hyperlink"/>
            <w:color w:val="0856A0"/>
            <w:u w:val="single"/>
          </w:rPr>
          <w:t xml:space="preserve">Bibliographie</w:t>
        </w:r>
      </w:hyperlink>
    </w:p>
    <w:bookmarkEnd w:id="47"/>
    <w:bookmarkEnd w:id="48"/>
    <w:bookmarkStart w:id="50" w:name="alcool-éthoxylate-dalkyle"/>
    <w:p>
      <w:pPr>
        <w:pStyle w:val="Heading3"/>
      </w:pPr>
      <w:r>
        <w:t xml:space="preserve">alcool éthoxylate d’alkyle</w:t>
      </w:r>
    </w:p>
    <w:p>
      <w:pPr>
        <w:pStyle w:val="FirstParagraph"/>
      </w:pPr>
      <w:r>
        <w:rPr>
          <w:b/>
          <w:bCs/>
        </w:rPr>
        <w:t xml:space="preserve">Identification</w:t>
      </w:r>
    </w:p>
    <w:p>
      <w:pPr>
        <w:pStyle w:val="Compact"/>
        <w:numPr>
          <w:ilvl w:val="0"/>
          <w:numId w:val="1010"/>
        </w:numPr>
      </w:pPr>
      <w:r>
        <w:t xml:space="preserve">N° CAS : 69011-36-5</w:t>
      </w:r>
    </w:p>
    <w:p>
      <w:pPr>
        <w:pStyle w:val="Compact"/>
        <w:numPr>
          <w:ilvl w:val="0"/>
          <w:numId w:val="1010"/>
        </w:numPr>
      </w:pPr>
      <w:r>
        <w:t xml:space="preserve">N° EINECS : None</w:t>
      </w:r>
    </w:p>
    <w:p>
      <w:pPr>
        <w:pStyle w:val="FirstParagraph"/>
      </w:pPr>
      <w:r>
        <w:rPr>
          <w:b/>
          <w:bCs/>
        </w:rPr>
        <w:t xml:space="preserve">Concentration</w:t>
      </w:r>
      <w:r>
        <w:t xml:space="preserve"> </w:t>
      </w:r>
      <w:r>
        <w:t xml:space="preserve">:from 3.0 to 10.0</w:t>
      </w:r>
    </w:p>
    <w:p>
      <w:pPr>
        <w:pStyle w:val="BodyText"/>
      </w:pPr>
      <w:r>
        <w:rPr>
          <w:b/>
          <w:bCs/>
        </w:rPr>
        <w:t xml:space="preserve">Dangers</w:t>
      </w:r>
      <w:r>
        <w:t xml:space="preserve"> </w:t>
      </w:r>
      <w:r>
        <w:t xml:space="preserve">:</w:t>
      </w:r>
    </w:p>
    <w:p>
      <w:pPr>
        <w:numPr>
          <w:ilvl w:val="0"/>
          <w:numId w:val="1011"/>
        </w:numPr>
      </w:pPr>
      <w:r>
        <w:t xml:space="preserve">H302</w:t>
      </w:r>
      <w:r>
        <w:t xml:space="preserve"> </w:t>
      </w:r>
      <w:r>
        <w:t xml:space="preserve">Nocif en cas d’ingestion.</w:t>
      </w:r>
    </w:p>
    <w:p>
      <w:pPr>
        <w:numPr>
          <w:ilvl w:val="0"/>
          <w:numId w:val="1011"/>
        </w:numPr>
      </w:pPr>
      <w:r>
        <w:t xml:space="preserve">H318</w:t>
      </w:r>
      <w:r>
        <w:t xml:space="preserve"> </w:t>
      </w:r>
      <w:r>
        <w:t xml:space="preserve">Provoque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9" w:name="propriétés-1"/>
    <w:p>
      <w:pPr>
        <w:pStyle w:val="Heading4"/>
      </w:pPr>
      <w:r>
        <w:t xml:space="preserve">Propriétés</w:t>
      </w:r>
    </w:p>
    <w:p>
      <w:pPr>
        <w:pStyle w:val="FirstParagraph"/>
      </w:pPr>
      <w:r>
        <w:t xml:space="preserve">Pas d’informations disponible.</w:t>
      </w:r>
    </w:p>
    <w:bookmarkEnd w:id="49"/>
    <w:bookmarkEnd w:id="50"/>
    <w:bookmarkEnd w:id="51"/>
    <w:bookmarkStart w:id="52"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indiqués pour un contact prolongé</w:t>
            </w:r>
            <w:r>
              <w:rPr>
                <w:sz w:val="20"/>
                <w:szCs w:val="20"/>
              </w:rPr>
              <w:t xml:space="preserve">• Matière : caoutchouc butyle</w:t>
            </w:r>
            <w:r>
              <w:rPr>
                <w:sz w:val="20"/>
                <w:szCs w:val="20"/>
              </w:rPr>
              <w:t xml:space="preserve">• Temps de pénétration : ≥ 480 min</w:t>
            </w:r>
            <w:r>
              <w:rPr>
                <w:sz w:val="20"/>
                <w:szCs w:val="20"/>
              </w:rPr>
              <w:t xml:space="preserve">• Épaisseur du matériau : ≥ 0,7 mm</w:t>
            </w:r>
            <w:r>
              <w:rPr>
                <w:sz w:val="20"/>
                <w:szCs w:val="20"/>
              </w:rPr>
              <w:t xml:space="preserve">Gants indiqués pour la protection contre les éclaboussures</w:t>
            </w:r>
            <w:r>
              <w:rPr>
                <w:sz w:val="20"/>
                <w:szCs w:val="20"/>
              </w:rPr>
              <w:t xml:space="preserve">• Matière : caoutchouc nitrile</w:t>
            </w:r>
            <w:r>
              <w:rPr>
                <w:sz w:val="20"/>
                <w:szCs w:val="20"/>
              </w:rPr>
              <w:t xml:space="preserve">• Temps de pénétration : ≥ 30 min</w:t>
            </w:r>
            <w:r>
              <w:rPr>
                <w:sz w:val="20"/>
                <w:szCs w:val="20"/>
              </w:rPr>
              <w:t xml:space="preserve">• Épaisseur du matériau : ≥ 0,4 mm</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lunettes de sécurité ou masque facial conforme à EN 166</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 Conformes à la norme EN 166 (lunettes de sécurité ou masque facial).</w:t>
            </w:r>
            <w:r>
              <w:rPr>
                <w:sz w:val="20"/>
                <w:szCs w:val="20"/>
              </w:rPr>
              <w:t xml:space="preserve"> </w:t>
            </w:r>
            <w:r>
              <w:rPr>
                <w:sz w:val="20"/>
                <w:szCs w:val="20"/>
              </w:rPr>
              <w:t xml:space="preserve"> </w:t>
            </w:r>
            <w:r>
              <w:rPr>
                <w:sz w:val="20"/>
                <w:szCs w:val="20"/>
              </w:rPr>
              <w:t xml:space="preserve">- Recommandées surtout en cas d’éclaboussures potentielles. Aucun EPI facial supplémentaire (masque respiratoire) n’est requis dans les conditions normales d’utilisation.</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Aucun masque respiratoire ou filtre n’est requis dans les conditions normales d’utilisation. La protection respiratoire n’est pas nécessaire tant que le produit est manipulé sans éclaboussures ou en dilution conforme aux procédures.</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Aucun vêtement de protection spécifique (combinaison, tablier, etc.) n’est requis dans les conditions normales d’utilisation. Si des éclaboussures sont possibles, l’usage d’une protection faciale est recommandé, mais pas de vêtement de protection supplémentaire.</w:t>
            </w:r>
          </w:p>
        </w:tc>
      </w:tr>
    </w:tbl>
    <w:bookmarkEnd w:id="52"/>
    <w:bookmarkStart w:id="53"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Pas de précautions spéciales requises.</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Conditions de stockage sûr : - Conserver conformément aux réglementations locales et nationales. - Utiliser uniquement le récipient d’origine. - Stocker dans un récipient fermé. Incompatibilités : - Le produit réagit avec les alcalins et les métaux. - À conserver à l’écart des produits contenant des agents de blanchiment chlorés ou des sulfites.</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Usage prévu : uniquement pour usage professionnel ; détartrant (procédé manuel) et nettoyant sols (procédé manuel).</w:t>
            </w:r>
          </w:p>
        </w:tc>
      </w:tr>
    </w:tbl>
    <w:bookmarkEnd w:id="53"/>
    <w:bookmarkEnd w:id="54"/>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23" Type="http://schemas.openxmlformats.org/officeDocument/2006/relationships/image" Target="media/rId23.png"/><Relationship Id="rId20" Type="http://schemas.openxmlformats.org/officeDocument/2006/relationships/image" Target="media/rId20.png"/><Relationship Id="rId38" Type="http://schemas.openxmlformats.org/officeDocument/2006/relationships/hyperlink" Target="https://www.inrs.fr/publications/bdd/fichetox/fiche.html?refINRS=FICHETOX_37" TargetMode="External"/><Relationship Id="rId41" Type="http://schemas.openxmlformats.org/officeDocument/2006/relationships/hyperlink" Target="https://www.inrs.fr/publications/bdd/fichetox/fiche.html?refINRS=FICHETOX_37&amp;section=VLEPMesurage" TargetMode="External"/><Relationship Id="rId46" Type="http://schemas.openxmlformats.org/officeDocument/2006/relationships/hyperlink" Target="https://www.inrs.fr/publications/bdd/fichetox/fiche.html?refINRS=FICHETOX_37&amp;section=bibliographieAuteurs" TargetMode="External"/><Relationship Id="rId40" Type="http://schemas.openxmlformats.org/officeDocument/2006/relationships/hyperlink" Target="https://www.inrs.fr/publications/bdd/fichetox/fiche.html?refINRS=FICHETOX_37&amp;section=caracteristiques" TargetMode="External"/><Relationship Id="rId39" Type="http://schemas.openxmlformats.org/officeDocument/2006/relationships/hyperlink" Target="https://www.inrs.fr/publications/bdd/fichetox/fiche.html?refINRS=FICHETOX_37&amp;section=generalites" TargetMode="External"/><Relationship Id="rId42" Type="http://schemas.openxmlformats.org/officeDocument/2006/relationships/hyperlink" Target="https://www.inrs.fr/publications/bdd/fichetox/fiche.html?refINRS=FICHETOX_37&amp;section=incendieExplosion" TargetMode="External"/><Relationship Id="rId43" Type="http://schemas.openxmlformats.org/officeDocument/2006/relationships/hyperlink" Target="https://www.inrs.fr/publications/bdd/fichetox/fiche.html?refINRS=FICHETOX_37&amp;section=pathologieToxicologie" TargetMode="External"/><Relationship Id="rId45" Type="http://schemas.openxmlformats.org/officeDocument/2006/relationships/hyperlink" Target="https://www.inrs.fr/publications/bdd/fichetox/fiche.html?refINRS=FICHETOX_37&amp;section=recommandations" TargetMode="External"/><Relationship Id="rId44" Type="http://schemas.openxmlformats.org/officeDocument/2006/relationships/hyperlink" Target="https://www.inrs.fr/publications/bdd/fichetox/fiche.html?refINRS=FICHETOX_37&amp;section=reglementation" TargetMode="External"/></Relationships>
</file>

<file path=word/_rels/footnotes.xml.rels><?xml version='1.0' encoding='UTF-8' standalone='yes'?>
<Relationships xmlns="http://schemas.openxmlformats.org/package/2006/relationships"><Relationship Id="rId38" Type="http://schemas.openxmlformats.org/officeDocument/2006/relationships/hyperlink" Target="https://www.inrs.fr/publications/bdd/fichetox/fiche.html?refINRS=FICHETOX_37" TargetMode="External"/><Relationship Id="rId41" Type="http://schemas.openxmlformats.org/officeDocument/2006/relationships/hyperlink" Target="https://www.inrs.fr/publications/bdd/fichetox/fiche.html?refINRS=FICHETOX_37&amp;section=VLEPMesurage" TargetMode="External"/><Relationship Id="rId46" Type="http://schemas.openxmlformats.org/officeDocument/2006/relationships/hyperlink" Target="https://www.inrs.fr/publications/bdd/fichetox/fiche.html?refINRS=FICHETOX_37&amp;section=bibliographieAuteurs" TargetMode="External"/><Relationship Id="rId40" Type="http://schemas.openxmlformats.org/officeDocument/2006/relationships/hyperlink" Target="https://www.inrs.fr/publications/bdd/fichetox/fiche.html?refINRS=FICHETOX_37&amp;section=caracteristiques" TargetMode="External"/><Relationship Id="rId39" Type="http://schemas.openxmlformats.org/officeDocument/2006/relationships/hyperlink" Target="https://www.inrs.fr/publications/bdd/fichetox/fiche.html?refINRS=FICHETOX_37&amp;section=generalites" TargetMode="External"/><Relationship Id="rId42" Type="http://schemas.openxmlformats.org/officeDocument/2006/relationships/hyperlink" Target="https://www.inrs.fr/publications/bdd/fichetox/fiche.html?refINRS=FICHETOX_37&amp;section=incendieExplosion" TargetMode="External"/><Relationship Id="rId43" Type="http://schemas.openxmlformats.org/officeDocument/2006/relationships/hyperlink" Target="https://www.inrs.fr/publications/bdd/fichetox/fiche.html?refINRS=FICHETOX_37&amp;section=pathologieToxicologie" TargetMode="External"/><Relationship Id="rId45" Type="http://schemas.openxmlformats.org/officeDocument/2006/relationships/hyperlink" Target="https://www.inrs.fr/publications/bdd/fichetox/fiche.html?refINRS=FICHETOX_37&amp;section=recommandations" TargetMode="External"/><Relationship Id="rId44" Type="http://schemas.openxmlformats.org/officeDocument/2006/relationships/hyperlink" Target="https://www.inrs.fr/publications/bdd/fichetox/fiche.html?refINRS=FICHETOX_37&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2026-04-01T23:30:46Z</dcterms:created>
  <dcterms:modified xsi:type="dcterms:W3CDTF">2026-04-01T23:30:46Z</dcterms:modified>
</cp:coreProperties>
</file>

<file path=docProps/custom.xml><?xml version="1.0" encoding="utf-8"?>
<Properties xmlns="http://schemas.openxmlformats.org/officeDocument/2006/custom-properties" xmlns:vt="http://schemas.openxmlformats.org/officeDocument/2006/docPropsVTypes"/>
</file>